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22-TA-439: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Vērtspapīrošanas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aktīvu, kurus iniciators atsavinājis vai nodevis vērtspapīrošanas sabiedrībai (turpmāk – aktīvi), aizsardzību pret iniciatora kreditoru prasījumiem,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"aktīvi" skaidrojums jau dots Likumprojekta 1. panta trešajā daļa. Tādējādi līdz galam nav saprotams jēdziena "aktīvi" saturs Likumprojekta tvērumā.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apakšpunkti ir dzēsti, ņemot vērā Tieslietu ministrijas viedokli (sk. 3.punktu), ka norma, kas regulē likuma mērķi, dublē citas likuma normas, kurās konkretizēti dažādi vērtspapīrošanu reglamentējoši jautājumi. Jēdziena "aktīvi" skaidrojums tiek saglabāts 1.panta trešajā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un kapitāla tirgus komisijas (turpmāk — Komisija) tiesības un pienākumus, īstenojot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23. septembrī Saeima pieņēma Latvijas Bankas likumu, kas stāsies spēkā 2023. gada 1. janvārī. Atbilstoši Latvijas Bankas likuma pārejas noteikumu 1. punktam līdz ar šā likuma stāšanos spēkā spēku zaudē Finanšu un kapitāla tirgus komisijas likums. Tādējādi ar 2023. gada 1. janvāri Finanšu un kapitāla tirgus komisija beidz pastāvēt. Latvijas Bankas likuma pārejas noteikumu 4. punkts noteic, ka Latvijas Banka ir Finanšu un kapitāla tirgus komisijas mantas, finanšu līdzekļu, tiesību un saistību pārņēmēja saskaņā ar Latvijas Bankas padomes apstiprināto plānu Finanšu un kapitāla tirgus komisijas pievienošanai Latvijas Bankai. Papildus norādām, ka atbilstoši Latvijas Bankas likuma pārejas noteikumu 2. punktam līdz attiecīgu grozījumu izdarīšanai citos normatīvajos aktos tajos lietotais nosaukums "Finanšu un kapitāla tirgus komisija" atbilst šajā likumā lietotajam nosaukumam "Latvijas Banka". Tādējādi vēršam uzmanību, ka ar 2023. gada 1. janvāri likumprojektā noteiktās Finanšu un kapitāla tirgus komisijas tiesības un pienākumi būs jāveic Latvijas Bankai. Ņemot vērā, ka jau šobrīd zināms, ka ar 2023. gada 1. janvāri Finanšu un kapitāla tirgus komisija vairs nepastāvēs,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Finanšu un kapitāla tirgus komisija aizstāta ar Latvijas Banku.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un kapitāla tirgus komisijas (turpmāk — Komisija) tiesības un pienākumus, īstenojot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2. panta 3. punktu, norādot, kāda tiesību objekta (vai kādu darbību) uzraudzību īsteno Finanšu un kapitāla tirgus komisija. Papildus norādām, ka likumprojekta 20. pants noteic, ka likumprojekta darbību uzrauga Finanšu un kapitāla tirgus komisija. Vēršam uzmanību, ka atbilstoši Ministru kabineta 2009. gada 3. februāra noteikumu Nr. 108 "Normatīvo aktu projektu sagatavošanas noteikumi" (turpmāk – Noteikumi Nr. 108) 3.3. apakšpunktam normatīvā akta projektā neietver normas, kas dublē pašā normatīvā akta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panta 3. punktu, vienlaikus izslēdzot likumprojekta 20. pantu vai izslēgt likumprojekta 2.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3.punkts, proti, norma, kas nosauc likuma mērķus, nav tāda norma, kas skaidri un nepārpotami dod tiesības Finanšu un kapitāla tirgus komisijai uzraudzīt likuma prasību izpildi. Atbilstoši iebildumā veidotajai argumentācijai, līdzīgi būtu jāsecina, ka arī 2.panta 1. un 2.punkts dublē konkrētās Likumprojekta normas, kas regulē vērtspapīrošanas sabiedrības Latvijā dibināšanu, darbību un darbības izbeigšanu vai  kas regulē aktīvu, kurus iniciators atsavinājis vai nodevis vērtspapīrošanas sabiedrībai, aizsardzību pret iniciatora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kļūdainu interpetāciju, ka Likumprojekta 2.pantā nosauktie likuma mērķi dublē citas likuma normas, Likumprojekta 2.pants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Vērtspapīrošanas sabiedrībai nav darbinieku.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vērtspapīrošanas darbības nodrošināšanai nav nepieciešami darbinieki, jo atsevišķie lēmumi, kas jāpieņem, ietilpst valdes kompetencē, taču norādām, ka jebkuras kapitālsabiedrības darbības nodrošināšanai darbinieku pieņemšana nav obligāta prasība, līdz ar to kapitālsabiedrības valde var izvēlēties, vai tai ir nepieciešami darbinieki, lai nodrošinātu kādu konkrētu darbu izpildi vai nav nepieciešami. Norādām, ka šāda veida ierobežojumi ir nesamērīgi ar anotācijā noteikto mērķi - hipotētiski samazināt iespējamo kreditoru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Likumprojekta 6. panta otrās daļas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norādei, ka norma, kas noteic, ka vērtspapīrošanas sabiedrībai nav darbinieku, ir tāds ierobežojums, kas ir nesamērīgs ar anotācijā noteikto mērķi - hipotētiski samazināt iespējamo kreditoru skaitu. Tieši otrādi – šāds ierobežojums ir samērīgs un tāds ir vitāli nepieciešams konkrētā mērķa sasniegšanai, lai nodrošinātu vērtspapīrošanas sabiedrības maksātnespējas attālinātību (angļu val. - insolvency/bankruptcy remotness).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Rekonstrukciju un attīstības bankas 2019. gada 7. februāra pētījumā “Ievads segto obligāciju un vērtspapīrošanas juridiskajam un normatīvajam ietvaram Latvijā” (“Introduction of a covered bond and securitisation legal and regulatory framework in Latvia”), analizējot vērtspapīrošanas sabiedrības darbības mehānismus, ir secināts, ka praksē šādai sabiedrībai nebūs darbinieku un būs mazs skaits uzdevumu, kas jāveic: “In practice, the SPV will not have any employees and there will be only a small number of tasks that have to be done by the SPV.” (sk. minētā pētījuma 22.lpp. Pieejams: 2019-02-22_11_54_37_concept-paper.abs-securitization.2019-02-07.eng.final.with-logos1.pdf (fm.gov.lv).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 arī citu valstu tirgus praksei un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Vācijas vērtspapīrošanas darījumos parastās un tirgus standarta metodes, ko izmanto, lai nodrošinātu vērtspapīrošansas sabiedŗības maksātnespējas attālinātību, aptver gan pašas sabiedrības darbības ierobežojumus, gan arī personāla jeb darbinieku neesamību (sk. Thompson Reuters. Practical Law. Structured finance and securitisation in Germany: overview Ensuring the SPV is insolvency remote. Pieejams: Struct https://uk.practicallaw.thomsonreuters.com/6-501-1000?transitionType=Default&amp;contextData=(sc.Default)ured finance and securitisation in Germany: overview | Practical Law (thomsonreuters.com)). Līdzīgi arī Īrijā maksātnespējas attālinātības nodrošināšanai tiek paredzēts, ka vērtspapīrošanas sabiedrībai nav darbinieku un tā nevar iesaistīties citās darbībās, kas nav saistītas ar strukturētajiem finanšu darījumiem (sk. Thompson Reuters. Practical Law. Structured finance and securitisation in Ireland: overview Ensuring the SPV is insolvency remote. Pieejams: Struct https://uk.practicallaw.thomsonreuters.com/6-501-1000?transitionType=Default&amp;contextData=(sc.Default)ured finance and securitisation in Ireland: overview | Practical Law (thomsonreuters.com))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attālinātība ir viens no kritērijiem, kuru, emitējot vērtspapīrus, vērtē kredītreitingu aģentūras. Piemēra, saskaņā ar Moody’s 2014.gada 7.oktobra kritērijiem (Bankruptcy Remoteness Criteria for Special Purpose Entities in Global Structured Finance Transactions. Pieejami: https://www.moodys.com/researchdocumentcontentpage.aspx?docid=PBS_SF360315), tiek vērtēts tas, vai vērtspapīrošanas sabiedrības aktivitātes tiek ierobežotas statūtos, vērtspapīrošanas dokumentācijas noteikumos vai normatīvajos aktos. Galvenie ierobežojumi, kas tiek vērtēti šā kritērija kontekstā,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ierobežojumi veikt jebkādas citas darbības (tostarp, tādas, kas varētu radīt parādsaistības), izņemot darbības, kas paredzētas  vērtspapīrošanas dokumentācijas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ierobežojumi apvienoties ar citu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īpašumtiesību uz nekustamo īpašumu vai tā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meitas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darbinieku.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Vērtspapīrošanas sabiedrībai nav darbinieku Darba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Vērtspapīrošanas sabiedrība ir tiesīga uzņemties saistības tikai tai piederošo aktīvu vērtībā.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īsti saprotams, kā minētā norma tiks piemērota dzīvē. Proti, nav skaidrs, kā tiks ietekmētas trešo personu tiesības, ja vērtspapīrošanas sabiedrībā būs nodibinājusi saistības, kas pārsniedz tai piederošo aktīvu vērtību un būs iestājies saistību izpildes termiņš. Tādējādi lūdzam skaidrot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sabiedrība iegādājas aktīvus no iniciatora, piemēram, kredītprasības. Attiecīgi vērtspapīrošanas shēmai ir jābūt tādai, lai no ienākošajām naudas plūsmām (cash flow) sabiedrība spētu nosegt periodiskos maksājumus, kas tai jāveic ieguldītājiem un citiem kreditoriem. Ja iestāsies saistību izpildes termiņš un vērtspapīrošanas sabiedrībai nepietiks līdzekļu kārtējo norēķinu veikšanai, tad konkrēto rīcību noteikts vērtspapīrošanas dokumentācijas noteikumi. Piemēram, periodiskos maksājumus ieguldītājiem segs sponsors. Apstāklis, ka vērtspapīrošanas sabiedrība būs uzņēmusies saistības apmērā, kas pārsniedz aktīvu vērtību, nenoliedzami ietekmēs visus ieguldītājus un kreditorus, jo visticamāk konkrētā vērtspapīrošanas programma neizrādīsies dzīvotspējīga un agrāk vai vēlāk tiks uzsākta vērtspapīrošanas sabiedrības maksātnespēja.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Vērtspapīrošanas sabiedrība ir tiesīga uzņemties saistības tikai tai piederošo aktīvu vērtībā.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izziņu un tajā sniegto atbildi, Tieslietu ministrijas ieskatā jo projām nav īsti skaidrs, vai attiecībā uz šīs normas ievērošanu pastāv kādi piespiedu mehānismi un kā konkrētās normas neievērošanas gadījumā, kad vērcpapīrošanas sabiedrība uzņēmusies saistības pāri tai piederošo aktīvu vērtībā, tas ietekmēs visu sabiedrības kreditoru tiesības saņemt izpildījumu, proti, vai visu  kreditoru prioritātes noteiks pēc vērtpapīrošanas noteikumiem, pat ja kreditora saistība būs radusies, piemēram, nodrošinot administratīvos pakalpojumus konkrētajai sabiedrībai. Līdz ar ko, lūdzam skaidrot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paustās bažas, kā arī uzklausot Finanšu nozares asociācijas un Finanšu un kapitāla tirgus komisijas viedokli, Finanšu ministrija secinājusi, ka konkrētā norma ir svītrojama.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spēkā tādi vērstpapīrošanas sabiedrības noslēgtie darījumi, kas ir pretrunā ar šajā likumā noteiktajiem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noteikts, ka vērtspapīrošanas sabiedrība var veikt darbības un slēgt darījumus, kas nepieciešami vērtspapīrošanas sabiedrības darbības nodrošināšanai vai vērtspapīrošanas darījuma (shēmas) pienācīgai īstenošanai un nav pretrunā ar attiecīgās sabiedrības dibināšanas mērķi. Panta sestajā daļa noteikts, ka nav spēkā tādi vērstpapīrošanas sabiedrības noslēgtie darījumi, kas ir pretrunā ar šajā likumā noteiktajiem ierobežojumiem. No minētā sanāk, ka, piemēram, vērtspapīrošanas sabiedrības darījuma partneriem ir jāspēj saprast, vai potenciālais darījums ir nepieciešams konkrētās sabiedrības darbības nodrošināšanai, pretējā gadījumā tas draud ar to, ka darījums nebūs spēkā. Ievērojot minēto, lūdzam skaidrot, kādi ir trešo personu tiesību aizsardzības mehānismi, ja darījums nav spēkā vērtsapīrošanas sabiedrības vainas dēļ un kā un vai potenciālie darījuma partneri varēs izvērtēt to, vai paredzamais darījums atbilst šajā likumā iekļautajiem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pašai vērtspapīrošanas sabiedrībai, gan arī vērtspapīrošanas darījuma partnerim ir jāspēj saprast to, vai potenciālais darījums ir nepieciešams konkrētās vērtspapīrošanas sabiedrības darbības nodrošināšanai. Lai potenciālais darījuma partneris pievērstu uzmanību īpašajam vērtspapīrošanas sabiedrības statusam un šādas sabiedrības darbības ierobežojumiem, Likumprojekta 5.pantā paredzēts pienākums vērtspapīrošanas sabiedrības firmā iekļauj norādi "vērtspapīrošanas sabiedrība". Līdz ar to citiem potenciālajam darījuma partneriem ir ļoti vienkārši identificēt ar darījuma slēgšanu saistītos riskus, jo pats firmas nosaukums jau uz to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primāri vērsta uz to, lai pati vērtspapīrošanas sabiedrība neuzņemtos tādas saistības, kas nav saistītas ar vērtspapīrošanas darījuma (shēmas) pienācīgu īstenošanu. Ja vērtspapīrošanas sabiedrība tomēr ir uzņēmusies arī citas saistības, piemēram, papildus vērtspapīrošanai nodarbojas arī ar saimniecības preču tirdzniecību, tad attiecīgi arī darījuma partneri ir līdzatbildīgi par to, ka nav veikuši sava darījuma partnera un darījuma slēgšanas risku izvērtējumu. Vērtspapīrošana ir ļoti specifiska darbība un iespējamo vērtspapīrošanas sabiedrības darījumu partneru loks ir ļoti ierobežots. Daži no iespējamajiem darījuma partneriem ir minēti Regulas Nr. 2017/2402 29.panta pirmajā daļā, piemēram, apdrošināšanas un pārapdrošināšanas sabiedrības, alternatīvo ieguldījumu fondu pārvaldnieki, ieguldījumu pārvaldes sabiedrības, kredītiestādes. Konkrēti sniedzamie pakalpojumi vērtspapīrošanas sabiedrībai arī ir ļoti specifiski - atvasinātie instrumenti un galvojumi, apkalpošanas, pārvaldības un naudas līdzekļu pārvaldības pakalpojumi, aizdevumi darbības sākšanai vai aizdevumi likviditātes nodrošināšanai, u.tml. Līdz ar to risks, ka trešā puse kā potenciālais darījuma partneris varētu labticīgi nokļūdīties, izvērtējot to, vai konkrētais darījums ir nepieciešams vērtspapīrošanas sabiedrības darbības nodrošināšanai, ir ļoti minimāls.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Aktīvu atsavināšana neietekmē un nemaina parādnieka un nodrošinājuma devēja tiesības un pienākumus, izņemot šajā likumā paredzētos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un Likumprojekta kopumā nav skaidrs kā un kāpēc aktīvu atsavināšana varētu mainīt parādnieka un nodrošinājuma devēja tiesības un pienākumus šajā likumā paredzētajos gadījumos. Lūdzam skaidrot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iekļauta Likumprojektā, ņemot vērā to, ka līdzīgs regulējums ir paredzēts attiecībā uz segtajām obligācijā, proti, Segto obligāciju likuma 21.panta pirmā daļa noteic, ka “Seguma aktīvu iekļaušana seguma portfelī saskaņā ar šā likuma 16. pantu vai turpmāka seguma aktīvu atsavināšana saskaņā ar šā likuma 27. pantu neietekmē un nemaina parādnieka un nodrošinājuma devēja tiesības un pienākumus, izņemot šajā likumā paredzētos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iebildumā norādītajam, ka no minētās normas nav skaidrs, kā un kāpēc aktīvu atsavināšana varētu mainīt parādnieka un nodrošinājuma devēja tiesības un pienākumus. Faktiski minētā norma ir uzskatāma par deklaratīvu, jo parādnieka un nodrošinājuma devēja tiesības un pienākumus regulē sākotnēji ar iniciatoru noslēgtais līgums. Gadījumā, kad konkrētajos aktīvos ietilpstošais prasījums tiek pārdots (cedēts) vērtspapīrošanas sabiedrībai, neraugoties uz kreditora maiņu parādnieka un nodrošinājuma devēja tiesības un pienākumi, kādi noteikti līgumā saglabājas. Ievērojot minēto, Likumprojekta pirmā daļa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starp parādnieku un iniciatoru, ar kuru ir aizliegta vai ierobežota aktīvu atsavināšana vai nodošana citai personai, nav spēkā, ja aktīvu atsavināšanu veic iniciators šajā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nav pietiekami pamatota, lai to attiecinātu uz jau esošām tiesiskām attiecībām un attiecībā uz nākotni šādu jautājumu iespējams risināt ar prakses maiņu (turpmāk neiekļaujot kreditēšanas līgumos šādu nosacījumu) Proti, līguma nosacījumi ir saistoši abām pusēm un bez pietiekama pamatojuma ar Likumprojektā paredzētām normām nebūtu atceļami. Ievērojot minēto, lūdzam papildināt anotāciju ar skaidrojumu par šādas normas nepieciešamību un izvērtējumu par ietekmi uz abu pušu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minētais jautājums ir vērtēts analizējot Latvijā spēkā esošo normatīvo regulējumu, citu valstu praksi, kā arī uzklausot Finanšu nozares asociācijas pausto viedokli. Atbilstoši iebildumā norādītajam anotācija papildināta ar tālāk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1799. panta pirmā daļa pieļauj noteikt aizliegumu prasījuma cesijai pēc pušu vienošanās, kas nozīmē to, ka prasījums nevar atrasties civiltiesiskajā apgrozībā. Ņemot vērā civiltiesiskās apgrozības intereses un nepieciešamību veicinās mazo un vidējo uzņēmumu attīstību, daudzas Eiropas kontinentālā loka valstu jurisdikcijas ir modernizējušas privāttiesisko regulējumu, paredzot līgumiska cesijas aizlieguma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līgumu tiesību principu (ELTP) 11:301. pants noteic, ka cesijas aizliegums nav spēkā, ja vien: a) parādnieks tam ir piekritis; b) cesionārs nezināja un viņam nevajadzēja zināt par cesijas aizliegumu; c) cesija tiek veikta saskaņā ar līgumu par nākotnes tiesību piešķiršanu uz naudas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UNIDROIT principu 9.1.9.punkts noteic, ka prasījuma uz naudas summas samaksu cesija ir spēkā arī tad, ja vienošanās starp cesionāru un parādnieku aizliedz šādu cesiju. Tomēr cesionārs var būt atbildīgs parādniekam par līguma laušanu. Līdzīgi arī Ungārijā 2013.gadā pieņemtā Civilkodeksa 6:195.panta noteic, ka attiecībā pret trešajām personām nav spēkā līgumiskas klauzulas, kas aizliedz prasījumu cesiju (sk. Civil Code of Hung https://uj.njt.hu/translation/J2013T0005P_20210701_FIN.PDF ary (njt.hu)).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Vācijā prasījumu ir iespējams cedēt pretēji līgumiski noteiktam cesijas aizliegumam komerciālos darījumos, ja abi līdzēji ir komersanti, kā arī tad, ja parādnieks ir publisko tiesību subjekts. Minētās atkāpes no līgumiski noteikta cesijas aizlieguma tomēr netiek pieļautas tad, ja prasījums izriet no aizdevuma līguma, kurā kreditors ir kredītiestāde (sk. Handelsgesetzbuzh §354a. Pieejams: § 354a https://www.gesetze-im-internet.de/hgb/__354a.html HGB - Einzelnorm (gesetze-im-internet.de).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normatīvajā regulējumā atkāpes no vispārējā Civillikuma 1799.panta, kas atļauj līgumā paredzēt cesijas aizliegumu, ir noteiktas Komerclikuma 470.pantā, kas noteic, ka “Starp parādnieku, kurš ir komersants, un klientu noslēgta vienošanās, saskaņā ar kuru ir aizliegta vai ierobežota klienta prasījumu nodošana citai personai, nav spēkā attiecībā uz prasījumu nodošanu tādai personai, kura sniedz faktoringa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Likumprojekta izstrādes gaitā regulējums attiecībā uz līgumiska cesijas aizlieguma (vai jebkuru cita veida aktīvu atsavināšanas aizlieguma) spēkā neesamību tika pārņemts no Segto obligāciju likuma 21.panta otrās daļas, kas noteic, ka “Vienošanās starp parādnieku un emitentu, ar kuru ir aizliegta vai ierobežota seguma aktīvu atsavināšana vai nodošana citai personai, nav spēkā, ja seguma aktīvu atsavināšanu veic emitents vai atsavinātājs šajā likumā noteiktajos gadījumos”, kā arī minētā likuma Pārejas noteikumu 2.punkta, kas noteic, ka “Šā likuma 21. panta otrā daļa attiecas arī uz vienošanos starp parādnieku un emitentu, kas noslēgta pirms šā likuma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citu valstu praksē tiek normatīvi paredzēti ierobežojumi atsavināšanas (cesijas) līgumiskam aizliegumam, kā arī Latvijā gan attiecībā uz faktoringu, gan arī attiecībā uz vērtspapīrošanai līdzīgu instrumentu – segtajām obligācijām – atsavināšanas (cesijas) līgumisks aizliegums tiek atzīts par spēkā neesošu, tad attiecīgs regulējums ir paredzēts arī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Likumprojekta izstrādes gaitā tika secināts, ka iniciatoram būtu jāvelta apjomīgs darbs, lai izpētītu un pārskatītu visus noslēgtos līgumus, koncentrējoties uz viena aspekta pārbaudi – ir vai nav konkrētajā līgumā iekļauts aktīvu (cesijas) atsavināšanas aizliegums. Šāda jau noslēgto līgumu izpēte kopumā sadārdzinātu vērstpapīrošanu. Vienlaikus tika arī secināts, ka aktīvu atsavināšana (cesija) nekādā veidā praksē neietekmēs parādnieka stāvokli, jo parasti vērtspapīrošanas gadījumā parādus apkalpojošās sabiedrības funkcijas veic pats iniciators. Līdz ar to visa komunikācija parādniekam, kas iepriekš notika ar viņa kreditoru, tāpat tiek turpināta ar šo pašu kreditoru, kurš vērtspapīrošanas shēmā iegūst iniciatora vai parādus apkalpojošās sabiedrības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to, ka Segto obligāciju likuma 21.panta otrā daļa un šā likuma Pārejas noteikumu 2.punkts paredz līdzīgu regulējumu, Likumprojektā noteikts, ka šā Vērtspapīrošanas likuma 13.panta otrā daļa attiecas arī uz tādu vienošanos starp parādnieku un iniciatoru, kas noslēgta pirms šā likuma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starp parādnieku un iniciatoru, ar kuru ir aizliegta vai ierobežota aktīvu atsavināšana vai nodošana citai personai, nav spēkā, ja aktīvu atsavināšanu veic iniciators šajā likumā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 darījuma noteikumi, ar kuru sniegts nodrošinājums, kas ietekmē paša nodrošinājuma spēkā esību vai nodrošinājuma devēja saistību izpildījuma apjomu, nav spēkā šajā likumā noteiktajos aktīvu atsavināšanas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nav pietiekami skaidra un, iespējams, nepamatoti aizskar jau spēkā esošu darījumu noteikumus. Proti, pirmkārt, panta lietotā frāze "kas ietekmē paša nodrošinājuma spēkā esību vai nodrošinājuma devēja saistību izpildījumu" ir pārāk plāša un no tās (arī ne no anotācijas) nav saprotams tās tvērums, otrkārt nav saprotama nepieciešamība (kas nav pamatota arī anotācijā) ietvert pantā ierobežojošus nosacījumus attiecībā uz darījumu noteikumiem, kas varētu aizskar trešo personu tiesības un darījuma slēgšanas brīvību. Lūdzam skaidrot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Likumprojektā iekļauta, ņemot vērā to, ka līdzīgs regulējums ir paredzēts attiecībā uz segtajām obligācijā, proti, Segto obligāciju likuma 21.panta trešā daļa noteic, ka “Tāda darījuma noteikumi, ar kuru sniegts nodrošinājums, kas ietekmē paša nodrošinājuma spēkā esību vai nodrošinājuma devēja saistību izpildījuma apjomu, nav spēkā šajā likumā noteiktajos seguma aktīvu atsavināšanas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situācijā, ja, piemēram, līgums, ar kuru sniegts nodrošinājums, paredzētu noteikumu, ka attiecīgais nodrošinājums nav spēkā kreditora personas maiņas gadījumā, tad šāds līguma noteikums būtu uzskatāms par spēkā neesošu, ja iniciators cedētu parādnieka prasījumu vērtspapīrošanas sabiedrībai. Tā kā vērtspapīrošanas sabiedrība tiek izveidota, lai nodalītu no iniciatora bilances noteiktus aktīvus, kuri tiek vērtspapīroti, bet parādu pakalpošanu turpina veikt iniciators, tad šādā situācijā vērtspapīrošana neko neizmaina iniciatora un parādnieka, kā arī nodrošinājuma devēja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nodrošinājums (piemēram, ķīla, galvojums) ir blakus saistība, kas seko galvenajam parādam, secināms, ka aktīvu atsavināšanas gadījumā citam kreditoram uz to pāriet arī nodrošinājums. Praksē nav zināmi tādi gadījumi, kad līguma, ar kuru sniegts nodrošinājums, noteikumi būtu ietekmējuši nodrošinājuma kā blakus saistības pāreju uz citu kreditoru. Līdz ar to norma risina hipotētisku, nevis šobrīd praksē aktuālu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attiecīgā norma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kreditoriem, tostarp kreditoriem, kuru prasījumi izriet no atvasināto finanšu instrumentu līgumiem, ir tiesības celt prasības pret vērtspapīrošanas sabiedrību atbilstoši vērtspapīrošanas dokumentācijas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 norma nav pietiekami skaidra un, iespējams nepamatoti, samazina citu kreditoru tiesības celt prasījumus tiesā pret vērtspapīrošanas sabiedrību, aprobežojot šīs tiesības ar vērtspapīrošanas dokumentācijas noteikumiem. Proti, nav skaidrs kā kreditoram būtu ceļama prasība pret vērtspapīrošanas sabiedrību par sniegtiem pakalpojumiem, ber par ko vērtspapīrošanas sabiedrība nav norēķinājusies. Tādējādi lūdzam skaidrot konkrētā panta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dokumentācija ir juridiska dokumentācija, kas ietver visus dokumentus, kas svarīgi vērtspapīrošanas darījuma jeb shēmas izprašanai. Likumprojektā nav īpaši skaidrots, kādi konkrēti dokumenti veido vērtspapīrošanas dokumentācijas noteikumus, jo sniegt šādu izsmeļošu uzskaitīju nav iespējams, ņemot vērā to, ka katra vērtspapīrošanas darījuma shēma ir ļoti atšķirīga. Kā redzams no Regulas Nr. 2017/2402  7.panta 1.punkta, kurā regulētas pārredzamības prasības iniciatoriem, sponsoriem un vērtspapīrošanas sabiedrībām, tad starp dokumentiem, kas ir būtiski vērtspapīrošanas darījuma izprašanai, ir gan tādi dokumenti kā galīgā piedāvājuma dokuments vai prospekts, gan arī aktīvu pirkuma līgums, apkalpošanas, pārvaldīšanas līgums, attiecīgo kreditoru sadarbības līgumi, līgumi par aizdevumu darbības uzsākšanai, likviditātes līgumi,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vērtspapīrošanas darījums jeb shēma būtu dzīvotspējīga un ieguldītāju vērtējumā uzticama un droša, ir būtiski nodrošināt tā saucamo vērtspapīrošanas sabiedrības maksātnespējas attālinātību (angļu val. – insolvency remotness). Minēto iespējams sasniegt ar dažādu pasākumu kopumu. Starptautiskajā praksē plaši tiek izmantota tā saucamā pieteikumu neiesniegšanas klauzula (angļu val. - non-petition clause), kas ir līgumiski noteikts ierobežojums vai aizliegums attiecīgajam kreditoram celt prasības tiesā pret vērtspapīrošanas sabiedrību vai aizliegums iesniegt maksātnespējas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tika secināts, ka Latvijas nacionālajā regulējumā nepieciešams atļaut šādu līgumiski noteiktu pieteikuma neiesniegšanas klauzulu, kas ierobežo ieguldītāju un kreditoru tiesības celt prasības pret vērtspapīrošanas sabiedrību, jo vērtspapīrošanas shēmas tiek veidotas, paredzot atšķirīgu ieguldītāju un kreditoru prasījumu apmierināšanas secību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jāņem vērā, ka vērtspapīrošanā ir tā saucamie tranši jeb laidieni, kas nodrošina dažādu maksājumu saistību prioritāti. Tā saucamais “pirmās kārtas zaudējumu laidiens” ir visvairāk pakārtotais vērtspapīrošanas laidiens, kas ir pirmais laidiens, kam jāuzņemas vērtspapīroto riska darījumu radītie zaudējumi un kurš līdz ar to nodrošina aizsardzību otrajam zaudējumu laidienam un attiecīgā gadījumā augstākas kārtas laidieniem.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ieguldītāju prasījumu apmierināšanas secība ir saistīta ar šiem laidieniem, tāpēc Likumprojekta 16.panta pirmā daļa ierobežo ieguldītāju tiesības celt prasības pret vērtspapīrošanas sabiedrību atbilstoši vērstpapīrošanas dokumentācijas noteikumiem. Ja tiktu atļauts, piemēram, tas, ka ieguldītājs pirmās kārtas zaudējumu laidienā ceļ prasību pret vērtspapīrošanas sabiedrību, tad attiecīgi tiktu izjaukta visa vērtspapīrošanas shēma, jo parastā situācijā sākotnēji apmierināmi ir ieguldītāji augstākas kārtas laidienos.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jāņem vērā, ka vērtspapīrošanas darījuma shēmā saistības izpilde tiek finansēta no ienākošās naudas plūsmas maksājumiem, kurus veic parādnieki (vai saistību neizpildes gadījumā nodrošinājuma devēji). Līdz ar to vērtspapīrošanas shēma tiek izstrādāta tāda, kas paredz gan periodisku norēķinu veikšanu ar ieguldītājiem (kuponu maksājumi), gan arī norēķināšanos ar citiem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kādā secībā no ienākošās naudas plūsmas maksājumiem tiek apmierināti ieguldītāju prasījumi, bet kādā citi kreditori tiek atrunāts noslēgtajos līgumos. Atsevišķos gadījumos, kad runa ir par atvasināto finanšu instrumentu līgumiem, praksē var tikt pielīgtas arī tā saucamās “flip clause”, proti, noteikums, kas, iestājoties noteiktiem gadījumiem, apgriež secību, kādā tiek apmierināti ieguldītāju un attiecīgā atvasināto finanšu instrumenta pakalpojuma sniedzēja prasījums. Tādējādi katra konkrētā vērtspapīrošanas shēma var būt ļoti sarežģīta no ieguldītāju un kreditoru prasījumu apmierināšanas secības (prioritātes)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Likumprojektā neparedzētu to, ka kreditoru tiesības celt prasības pret vērtspapīrošanas sabiedrību var tikt līgumiski ierobežotas, tad attiecīgais kreditors, kurš vērstos tiesā ar prasību, iespējams, saņemtu apmierinājumu pilnā apmērā, kamēr citi, kuriem saskaņā ar attiecīgajiem līgumiem ir noteikta augstāka prioritāte uz prasījuma apmierināšanu, gala rezultātā apmierinājumu nesaņemtu. Līdz ar to prasību celšana tiesā, acīmredzami, izjauc kopējo vērtspapīrošanas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izstrādes gaitā tika secināts, ka nav pamata pieteikumu neiesniegšanas klauzulu (angļu val. - non-petition clause) attiecināt uz maksātnespējas pieteikuma iesniegšanu, jo vērtspapīrošanas sabiedrības maksātnespējas gadījumā ieguldītāji un kreditori saņem apmierinājumu atbilstoši konkrētajai vērtspapīrošanas shēmai. Līdz ar to Likumprojekts paredz iespēju līgumiski noteikt aizliegumu celt prasības tiesā, bet neierobežo kreditoru tiesības iesniegt vērtspapīrošanas sabiedrības maksātnespējas pieteikumu, ja norēķini netiek veikti un ir acīmredzams, ka konkrētā programma nav dzīvotspējīga.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kreditoriem, tostarp kreditoriem, kuru prasījumi izriet no atvasināto finanšu instrumentu līgumiem, ir tiesības celt prasības pret vērtspapīrošanas sabiedrību vienīgi gadījumā, ja to paredz vērtspapīrošanas darījumu dokumentācijas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kreditoriem, tostarp kreditoriem, kuru prasījumi izriet no atvasināto finanšu instrumentu līgumiem, ir tiesības celt prasības pret vērtspapīrošanas sabiedrību atbilstoši vērtspapīrošanas dokumentācijas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skaidrot,kā citi kreditori tostarp kreditori, kuru prasījumi izriet no atvasināto finanšu instrumentu līgumiem, uzzinās par savām (ierobežotajām)  tiesībām celt prasības pret vērtspapīrošanas sabiedrību atbilstoši vērtspapīrošanas dokumentācijas noteikumiem - kur šī informācija (attiecīgā vērcpapīrošanas dokumentācija) būs pieejama (vai vērcpapīrošanas sabiedrībai ir pienākums iekļaut šo līgumsiko klauzulu visos darījumos, ko tā slēdz?)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kreditoram ir atļauta  prasību celšana pret vērtspapīrošanas sabiedrību vienīgi tad, ja šāda tiesība tam ir pielīgta, proti, pamatojoties uz līgumisku klauzulu. Ja līgumā starp vērtspapīrošanas sabiedrību un otru līdzēju (kreditoru) šāda klauzula ir iekļauta, tad tā liedz kreditoram celt prasību tiesā. Vērtspapīrošanas dokumentācija ir plašs termins, kāds tiek lietots Regulā Nr. 2017/2402. Ar vērtspapīrošanas dokumentāciju tiek saprasti visi līgumi, galīgā piedāvājuma dokumenti vai prospekts, atvasināto instrumentu dokumentācija u.c. juridiski saistoši dokumenti, kas kopumā nodrošina konkrētās vērtspapīrošanas shēmas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Kreditoram, kurš līgumā iekļāvis šādu klauzulu, par to būs zināms kā līguma pusei, kura pati šādu klauzulu pielīgusi. Līdzīgi arī ieguldītājs, kurš tur vērtspapīrošanas pozīciju (iegādājas vērtspapīru), līgumiski uzņemas ierobežojumu necelt prasības, akceptējot piedāvājumu. Privātās vērtspapīrošanas gadījumā ieguldītājs slēdz līgumu ar vērtspapīrošanas sabiedrību, bet publiskās vērtspapīrošanas gadījumā ir prospekts, kurā attiecīgā klauzula tiek iekļauta. Līdz ar to visos gadījumos attiecīgais ierobežojums necelt prasību ir līgumiski noteikts un ieguldītāja vai cita kreditora akceptēts.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2017/2402 7.pants regulē pārredzamības prasības iniciatoriem, sponsoriem un vērtspapīrošanas sabiedrībām. Minētais pants ir piemērojams visiem vērtspapīrošanas darījumiem.  Tajā noteikts, kāda informācija atklājama ieguldītājiem, potenciālajiem ieguldītājiem un uzraudzības iestādēm. Uzskaitījums ir garš un cita starpā paredz, ka sniedzama informācija par attiecīgajiem kreditoru sadarbības līgumiem, atvasināto instrumentu dokumentācija, līgumiem par subordinētajiem aizdevumiem utt. Tāpat Regulas Nr. 2017/2402 7.panta 1.punkta b) apakšpunktā noteikts, ka minētajos pamatā esošajos dokumentos iekļauj detalizētu aprakstu par vērtspapīrošanas maksājumu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teikto, jebkurš kreditors ierobežojumu necelt prasības pret vērtspapīrošanas sabiedrību uzņemas līgumiski, tāpēc viņam tas ir zināms kā līguma pusei. Tā kā Regulas Nr. 2017/2402 7.pants regulē vērtspapīrošanas pārredzamības prasības, tad visi dokumenti, kas ir būtiski darījuma izprašanai, ir pieejami ieguldītājiem vai potenciālajiem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kreditoriem, tostarp kreditoriem, kuru prasījumi izriet no atvasināto finanšu instrumentu līgumiem, ir tiesības celt prasības pret vērtspapīrošanas sabiedrību vienīgi gadījumā, ja to paredz vērtspapīrošanas darījumu dokumentācijas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Bankas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iepriekšējām sarunām par to, kā tiesiskās aizsardzības un maksātnespējas procesā iesaistītās personas varētu gūt pārliecību par sabiedrības patiesu atbilstību vērtspapīrošanas sabiedrības statusam, likumprojekts papildināts normu par Latvijas Banku kā kompetento institūciju, kas pēc pieprasījuma ir tiesīga sniegt atzinumu par sabiedrības atbilstību vērtspapīrošanas sabiedrības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19. panta otrajā daļā paredzēts, ka vērtspapīrošanas sabiedrībai nav piemērojams tiesiskās aizsardzības process. Tāpat jāuzsver, ka likumprojekta 5. pantā ir paredzēts, ka vērtspapīrošanas sabiedrības firmā iekļauj norādi “vērtspapīrošanas sabiedrība”. Taču vienlaikus likumprojektā nav paredzēts aizliegums arī citām sabiedrībām tās firmā lietot šādus vārdus, kaut arī tās neatbilstu vērtspapīrošanas sabiedrības būtībai šī likumprojekta izpratnē. Arīdzan būtiski ņemt vērā likumprojekta 6. panta pirmajā daļā ietvertie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faktiski var veidoties divas iespējamās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aizsardzības procesa pieteikumu iesniedz sabiedrība, kuras firmā ir vārdi “vērtspapīrošanas sabiedrība” kaut arī tā faktiski neatbilst vērtspapīrošanas sabiedrības prasībām šī likumprojekta izpratnē. Rezultātā tiesas atteikums ierosināt tiesiskās aizsardzības procesa lietu būs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aizsardzības procesa pieteikumu iesniedz sabiedrība, kura pieteikumā negodprātīgi norāda, ka veic arī citas darbības un tādējādi nav uzskatāma par vērtspapīrošanas sabiedrību šī likumprojekta izpratnē. Rezultātā, ja tiesa nekonstatē citus šķēršļus, tiek ierosināta tiesiskās aizsardzības procesa lieta, kas paredz kreditoru intereses ierobežojošus pasākumus (skat. Maksātnespējas likuma 37. pantu). Turklāt jāuzsver, ka tiesas lēmumu par lietas ierosināšanu nav iespējams pārsūdzēt vai lietu izbeigt pirms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tiesai ir būtiski, jau saņemot sabiedrības pieteikumu par tiesiskās aizsardzības procesa ierosināšanu, gūt pārliecību par sabiedrības, kuras firmā lietota norāde “vērtspapīrošanas sabiedrība”, patiesu atbilstību vērtspapīrošanas sabiedrības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tiesa, saņemot tiesiskās aizsardzības procesa pieteikumu, pārbauda Civilprocesa likuma 341.2 pantā noteiktās pieteikuma prasības, kuru starpā nav ziņas vai dokumenti, kas viennozīmīgi ļautu tiesai secināt iepriekš norādīto. Tāpat jāuzsver, ka pirms lietas ierosināšanas netiek iecelta vai citā veidā piesaistīta persona, kurai būtu tiesības, pienākums vai pat pilnvērtīgas iespējas izvērtēt iepriekš norādīto. Visubeidzot jāuzsver, ka tiesa par tiesiskās aizsardzības procesa lietas ierosināšanu lemj nākamajā dienā pēc pieteikuma saņemšanas (skat. Civilprocesa likuma 341.4 panta pirmo daļu). Līdz ar to tiesai pat teorētiski nebūtu iespējams lūgt Latvijas Bankas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paredzot risinājumu tam, lai tiesa varētu pamatoti lemt par tiesiskās aizsardzības procesa lietas ierosināšanu vai atteikumu to ierosināt.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papildināts ar otro daļu, nosakot, ka kapitālsabiedrības firmā vai pašreklāmā aizliegts izmantot vārdu "vērtspapīrošanas sabiedrība" jebkurā locījumā, vārdu savienojumā un atvasinājumā tādā veidā, kas rada maldīgu priekšstatu par tās darbības atbilstību Regulai Nr. 2017/2402 un šim likumam. Šāda norma Likumprojektā iekļauta pēc analoģijas ar Krājaizdevu sabiedrību likuma 6.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kopumā paredz iespēju tam, ka tiek iesniegts vērtspapīrošanas sabiedrības maksātnespējas pieteikums un vērtspapīrošanas sabiedrība tiek pasludināta par maksātnespējīgu. Taču saskaņā ar Likumprojekta 17.panta otrajā daļā noteikto vērtspapīrošanas sabiedrībai nav piemērojams tiesiskās aizsardzības process. Līdzīgs regulējums ir noteikts attiecībā uz segto obligāciju sabiedrībām saskaņā ar Segto obligāciju likuma 79.panta otro daļu un finanšu tirgus dalībniekiem saskaņā ar Maksātnespējas likuma 32.panta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finanšu tirgus dalībniekiem, kas minēti Maksātnespējas likuma 32.panta trešajā daļā, vērtspapīrošanas sabiedrībām nav noteikta prasība būt reģistrētām vai licencētām. Vienlaikus jāņem vērā, ka Likumprojekts paredz prasību, lai vērtspapīrošanas sabiedrības firmā būtu iekļauta norāde "vērtspapīrošanas sabiedrība". Līdz ar to uz visām tām sabiedrībām, kuru firmā iekļauta norāde "vērtspapīrošanas sabiedrība", attiecas aizliegums piemērot tiesiskās aizsardzības procesu. Tas vien, ka sabiedrības firmā iekļauta norāde "vērtspapīrošanas sabiedrība", tiesību normu piemērotājam ir pietiekams pamats atteikties piemērot tiesiskās aizsardzības procesu, ja pat šāds pieteikums ir ticis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analizēta situācija, kad sabiedrība ir nodibināta, reģistrēta Komercreģistrā un tās firmā iekļauta norāde “vērtspapīrošanas sabiedrība”, bet tā nav uzsākusi vērtspapīrošanas darījuma vai shēmas īstenošanu, vai veic pavisam cita veida komercdarbību, kas nav saistīta ar vērtspapīrošanu. Atzīmējams, ka atbilstoši Komerclikuma 29.panta pirmajai daļai firmā nedrīkst ietvert maldinošas ziņas par komerctiesiskajā apgrozībā svarīgiem apstākļiem, it īpaši par komersanta vai komercdarbības veidu vai arī par komercdarbības apjomu. Līdzīgi arī Likumprojekta 5.panta otrajā daļā noteikts, ka kapitālsabiedrības firmā vai pašreklāmā aizliegts izmantot vārdu "vērtspapīrošanas sabiedrība" jebkurā locījumā, vārdu savienojumā un atvasinājumā tādā veidā, kas rada maldīgu priekšstatu par tās darbības atbilstību Regulai Nr. 2017/2402 un šim likumam. Šādā situācijā jāņem vērā, ka Uzņēmumu reģistrs vērtē komersanta firmas atbilstību tikai brīdī, kad tiek veikta firmas reģistrācija, taču pārbaude (pēc savas iniciatīvas vai trešo personu iesnieguma) par firmas atbilstību faktiskajai komersanta darbībai nav Uzņēmumu reģistra kompetencē. Firmas maiņa var notikt atkārtoti, ja pats komersants pieņem lēmumu mainīt komersanta firmu. Tādējādi, ja sabiedrība ir reģistrēta ar firmā iekļautu norādi "vērtspapīrošanas sabiedrība", bet tā nav uzsākusi vērtspapīrošanas darījuma vai shēmas īstenošanu, tad šādai sabiedrībai tiesiskās aizsardzības process var tikt piemērots tika pēc tam, kad norāde “vērtspapīrošanas sabiedrība” ir izslēgta no sabiedrības firmas.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analizēta arī pretēja situācija, kad, iespējams, negodprātīgos nolūkos, lai apietu likumā noteikto aizliegumu, no firmas tiek izslēgta norāde “vērtspapīrošanas sabiedrība”, taču secināts, ka atbildība par tiesiskās aizsardzības procesa noteikumu pārkāpšanu, tostarp, par tiesiskās aizsardzības procesa izmantošanu nolūkā izvairīties no saistību izpildes, jau ir noteikta Krimināllikuma 215.1pantā."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Bankas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projektu papildināt ar noilguma regulējumu. Lai arī šobrīd tiesiskās drošības princips, neskatoties uz likuma regulējumu, ierobežo iestādes tiesības piemērot sankcijas, tomēr tiesiskās noteiktības interesēs ir svarīgi projektā noteikt konkrētu noilguma termiņu (</w:t>
            </w:r>
            <w:r w:rsidR="00000000" w:rsidRPr="00000000" w:rsidDel="00000000">
              <w:rPr>
                <w:i w:val="1"/>
                <w:rtl w:val="0"/>
              </w:rPr>
              <w:t xml:space="preserve">Danovskis E. Sodu tiesību principu nozīme administratīvajās tiesībās. Grām.: Autoru kolektīvs. Juridisko personu publiski tiesiskā atbildība. Rīga: LU Akadēmiskais apgāds, 2018, 139.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šajā projekta nodaļā paredzētā regulējuma struktūru un tajā regulējamo jautājumu loku, salīdzinot to ar citiem līdzīgiem likumprojektiem (piemēram, likumprojektu "Ieguldījumu brokeru sabiedrību likums" (Nr. 1196/Lp13)).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30.pantu, kas regulē noilgumu.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Atbildība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Sankciju veidi un vispārīgie noteikumi sankciju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panta nosaukums ir "sankciju veidi un vispārīgie noteikumi sankciju piemērošanai". Savukārt pantā ir ietvertas atsauces uz Regulas Nr. 2017/2402 32. panta vienībām, kā arī norādītas iespējamās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2017/2402 32. panta 1. punktā dalībvalstīm ir noteikts pienākums paredzēt administratīvos sodus un korektīvos pasākumus vismaz šajā punktā minētajās situācijās. Tas nozīmē, ka, pirmkārt, ir pienācīgi jāformulē pārkāpumi, un, otrkārt, jānosaka atbilstoši sodi par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pants (līdzīgi arī 25. pants) nesatur nekādas pārkāpuma pazīmes, bet gan tikai atsauces uz konkrētām regulas vienībām, kurās pārkāpumi paredzēti. Vēršam uzmanību, ka atbildības normām ir jābūt pietiekami skaidrām, lai persona varētu saprast, par kāda veida rīcību ir paredzēta atbildība.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Arī no juridiskās tehniskas viedokļa atsauču lietojumam jābūt tādam, lai projekta regulējumu varētu vispārīgi saprast, neizlasot atsaucē norādīto cita normatīvā akta vienību. Ievērojot minēto, nepieciešams precizēt pārkāpumu formulējumu. Ir pieļaujams izmantot atsauces uz Regulas Nr. 2017/2402 vienībām, tomēr tas neatceļ prasību pietiekami skaidri norādīt pārkāpumu pazīmes </w:t>
            </w:r>
            <w:r w:rsidR="00000000" w:rsidRPr="00000000" w:rsidDel="00000000">
              <w:rPr>
                <w:i w:val="1"/>
                <w:rtl w:val="0"/>
              </w:rPr>
              <w:t xml:space="preserve">(sal. sk. likumprojekta "Ieguldījumu brokeru sabiedrību likums" (Nr. 1196/Lp13) 74. pantu vai likumprojekta "Kolektīvās finansēšanas pakalpojumu likums" (Nr. 1233/Lp13) 12. pantu)</w:t>
            </w:r>
            <w:r w:rsidR="00000000" w:rsidRPr="00000000" w:rsidDel="00000000">
              <w:rPr>
                <w:rtl w:val="0"/>
              </w:rPr>
              <w:t xml:space="preserve">. Vienlaikus projekta anotācijā ietverams plašāks pārkāpumu būtības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par pārkāpumiem var noteikt arī atsevišķā pantā, ievērojot pamatā līdz šim valdošo praksi (it īpaši, ja sankcijas par katru pārkāpumu nav atšķirīgas), vai arī apvienot vienā pantā ar pārkāpumu uzskaitījumu </w:t>
            </w:r>
            <w:r w:rsidR="00000000" w:rsidRPr="00000000" w:rsidDel="00000000">
              <w:rPr>
                <w:i w:val="1"/>
                <w:rtl w:val="0"/>
              </w:rPr>
              <w:t xml:space="preserve">(sal. sk. Ceļu satiksmes likuma 51. panta pirmās un desmitās daļas struktūru)</w:t>
            </w:r>
            <w:r w:rsidR="00000000" w:rsidRPr="00000000" w:rsidDel="00000000">
              <w:rPr>
                <w:rtl w:val="0"/>
              </w:rPr>
              <w:t xml:space="preserve">. Vienlaikus apsverama iespēja izveidot arī vispārīgu sankciju regulējumu </w:t>
            </w:r>
            <w:r w:rsidR="00000000" w:rsidRPr="00000000" w:rsidDel="00000000">
              <w:rPr>
                <w:i w:val="1"/>
                <w:rtl w:val="0"/>
              </w:rPr>
              <w:t xml:space="preserve">(sal. sk. likumprojekta "Ieguldījumu brokeru sabiedrību likums" (Nr. 1196/Lp13) 68.-72. pantu)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25.pantu (attiecīgi mainot turpmāko pantu numerāciju), kas noteic, par kādiem pārkāpumiem Latvijas Banka ir tiesīga piemērot sankcijas un administratīvos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brīdinājumu par darbības trūkumiem un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panta pirmās daļas 1. punkts paredz, ka par attiecīgajiem Regulā Nr. 2017/2402 minētajiem pārkāpumiem var "izteikt brīdinājumu par darbības trūkumiem un pārkāpumiem". Nav saprotams "darbības trūkumu un pārkāpumu" saturs, nav saprotams, par kādām darbībām tieši tiek piemērots brīdinājums, un vai "darbības trūkums" šajā gadījumā nav arī "pārkāpums". Lūdzam precizēt projektu un papildināt 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2017/2402 32.pants neparedz brīdinājumu kā administratīvo sodu un korektīvu pasākumu, kas katrā ziņā dalībvalstīm būtu jāparedz nacionālajās tiesībās, tāpēc brīdinājums kā sankcija no Likumprojekta svītrots. Minētā sankcija svītrota arī tāpēc, ka tā pēc būtības ir līdzīga Likumprojektā paredzētajam administratīvajam pasākumam “pieprasīt, lai par pārkāpumu atbildīgā fiziskā vai juridiskā persona nekavējoties izbeidz attiecīgo rīcību”.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Administratīvo pasākumu veidi un vispārīgie noteikumi administratīvo pasākumu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anotācijā pamatot, kuri projektā paredzētie pasākumi ir sankcijas (respektīvi, sodoša jeb krimināltiesiska rakstura administratīvās sankcijas) un kuri – nesodoša rakstura pasākumi (šeit lietots apzīmējums "administratīvie pasākumi", Regulā Nr. 2017/2402 izmantots apzīmējums "korektīvi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sankcijas (respektīvi, sodoša jeb krimināltiesiska rakstura administratīvās sankcijas) ir paredzēts noteikt: 1) publiska paziņojuma sniegšanu, norādot par pārkāpumu atbildīgo fizisko vai juridisko personu un pārkāpuma būtību; 2) piemērot naudas, kā arī 3) atļaujas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nesodoša rakstura administratīvos pasākumus Likumprojektā ir paredzēts noteikt: 1) pieprasījumu, lai par pārkāpumu atbildīgā fiziskā vai juridiskā persona nekavējoties izbeidz attiecīgo rīcību; 2) pagaidu aizlieguma noteikšanu iniciatora, sponsora vai vērtspapīrošanas sabiedrības valdes un padomes (ja tāda ir izveidota) loceklim vai citai par pārkāpumu atbildīgai fiziskajai personai veikt tai noteiktos pienākumus līdz pārkāpuma izbeigšanās brīdim; 3) pagaidu aizlieguma noteikšana iniciatoram un sponsoram sniegt Eiropas Vērtspapīru un tirgu iestādei Regulas Nr. 2017/2402 27. panta 1. punktā minēto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Administratīvie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pantā ir noteikti administratīvā pārkāpuma sastāvi vērtspapīru nozarē. Ievērojot minēto, aicinām minētos pantus (tostarp nosaukumus) noformēt atbilstoši šī brīža administratīvās atbildības noteikšanas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lūguma Tieslietu ministrija 2022.gada 8.novembrī ir papildinājoši paskaidrojusi, ka lūdz precizēt projekta 25. panta 5. punktā a-c apakšpunktos norādītās atsauces uz regulas pantiem, norādot katru pantu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ņemts vērā - atsauces uz regulas pantiem ir precizētas, norādot katru pantu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citai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pievēršama projekta 25. panta pirmās daļas 2. punktā paredzētā administratīvā pasākuma – aizlieguma iniciatora, sponsora vai vērtspapīrošanas sabiedrības valdes un padomes (ja tāda ir izveidota) loceklim vai citai par pārkāpumu atbildīgai fiziskajai personai veikt tai noteiktos pienākumus līdz pārkāpuma izbeigšanās brīdim – raksturam. Piemēram, projekta anotācijā nav skaidrots, kā šāds pasākums atšķiras no profesionālās darbības ierobežojumiem, kas pamatā tiek atzītas kā sankcijas. Piemēram, Noziedzīgi iegūtu līdzekļu legalizācijas un terorisma un proliferācijas finansēšanas novēršanas likuma 78. panta pirmās daļas 5. punktā pagaidu aizliegums pildīt noteiktus pienākumus ir klasificēts kā sankcija. Līdz ar to, lūdzam izvērtēt šī un citu minēto administratīvo pasākumu raksturu un papildināt 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aizliegums valdes vai padomes loceklim vai citai fiziskajai personai, kura ir atbildīga par pārkāpumu, veikt tai noteiktos pienākumus, kā administratīvais pasākums ir noteikts virknē finanšu un kapitāla tirgus darbības uzraudzību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noteikts, piemēram, Finanšu instrumentu tirgus likuma 148.panta 8.2daļā, 15.2.daļā, 17.1daļā, 18.1daļā.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Ieguldījumu brokeru sabiedrību likuma 72.panta pirmās daļas 2.punktā ir noteikts, ka “Komisija var piemērot šādus administratīvos pasākumus: 2) noteikt pagaidu aizliegumu kapitālsabiedrības padomes vai valdes loceklim, kurš ir atbildīgs par attiecīgo pārkāpumu, uz laiku līdz trim gadiem pildīt viņam noteiktos pienākumus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Likumprojektā “Grozījumi Privāto pensiju fondu likumā” (22-TA-621) paredz papildināt 41.pantu ar 3.2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Komisijai, konstatējot Regulas Nr. 2019/1238 67.panta 2.punktā minētos pārkāpumus, ir tiesības PEPP sniedzējam vai PEPP izplatītājam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valdes vai padomes loceklim vai citai fiziskajai personai, kura ir atbildīga par pārkāpumu, veikt tai noteiktos pienākumus, bet ne ilgāk kā divus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Administratīvie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pantā ir noteikti administratīvā pārkāpuma sastāvi vērtspapīru nozarē. Ievērojot minēto, aicinām minētos pantus (tostarp nosaukumus) noformēt atbilstoši šī brīža administratīvās atbildības noteikšanas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lūguma Tieslietu ministrija 2022.gada 8.novembrī ir papildinājoši paskaidrojusi, ka lūdz precizēt projekta 25. panta 5. punktā a-c apakšpunktos norādītās atsauces uz regulas pantiem, norādot katru pantu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ņemts vērā - atsauces uz regulas pantiem ir precizētas, norādot katru pantu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Administratīvie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Pieņemot lēmumu par sankciju piemērošanu par pārkāpumu atbildīgajām personām un par soda naudas apmēru, Komisija ņem vērā Regulas Nr. 2017/2402 33. panta 2. punktā un Finanšu un kapitāla tirgus komisijas likumā minētos apstākļus, kā arī pasākumus, kurus veikusi persona, lai novērstu pārkāpuma atkārtošanos un mazinātu iespējamās pārkāpuma sistēmiskās sekas un ar to nodarīto zaudējumu apmēru trešajām personām, kā arī izvērtē piemērojamo sankciju samērīgumu, efektivitāti un atturošo raksturu.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pantā kā viens no sankciju veidiem ir paredzēts naudas sods. Savukārt projekta 26. pantā tiek minēta soda nauda. Lūdzam salāgot projektā lietoto terminoloģiju un projekta 26. pantā lietoto terminu "soda nauda" aizstāt ar "naudas sods". Turklāt, kā norādīts juridiskajā literatūrā, šobrīd vairs nav ne praktiskas, ne teorētiskas nozīmes vienu un to pašu institūtu – valsts institūcijas piemērotu pienākumu maksāt naudu par tiesību normas pārkāpšanu – dēvēt atšķirīgi </w:t>
            </w:r>
            <w:r w:rsidR="00000000" w:rsidRPr="00000000" w:rsidDel="00000000">
              <w:rPr>
                <w:i w:val="1"/>
                <w:rtl w:val="0"/>
              </w:rPr>
              <w:t xml:space="preserve">(Danovskis E. Sodu tiesību principu nozīme administratīvajās tiesībās. Grām.: Juridisko personu publiski tiesiskā atbildība. Rīga: LU Akadēmiskais apgāds, 2018, 134. lpp.)</w:t>
            </w:r>
            <w:r w:rsidR="00000000" w:rsidRPr="00000000" w:rsidDel="00000000">
              <w:rPr>
                <w:rtl w:val="0"/>
              </w:rPr>
              <w:t xml:space="preserve">. Līdzīgu apsvērumu dēļ ieteicams vārdu "izteikt [brīdinājumu]" aizstāt ar vārdu "piemērot" (projekta 24. panta pirmās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"soda nauda" aizstāts ar terminu "naudas sods"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lēmumu par sankciju vai administratīvo pasākumu piemērošanu un par naudas soda apmēru, Latvijas Banka ņem vērā Regulas Nr. 2017/2402 33. panta 2. punktā un Latvijas Bankas likumā minētos kritērijus, kā arī pasākumus, kurus veikusi persona, lai novērstu pārkāpuma atkārtošanos un mazinātu iespējamās pārkāpuma sistēmiskās sekas un ar to nodarīto zaudējumu apmēru trešajām personām, kā arī izvērtē piemērojamo sankciju un administratīvo pasākumu samērīgumu, efektivitāti un atturošo raksturu.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citai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projekta 26. panta pirmās daļas 2. punktā paredzētais administratīvais pasākums "noteikt pagaidu aizliegumu iniciatora, sponsora vai vērtspapīrošanas sabiedrības valdes un padomes (ja tāda ir izveidota) loceklim vai citai par pārkāpumu atbildīgai fiziskajai personai veikt tai noteiktos pienākumus līdz pārkāpuma izbeigšanās brīdim" atšķiras no profesionālās darbības ierobežojumiem, kas pamatā tiek atzītas kā sankcijas. Piemēram, Noziedzīgi iegūtu līdzekļu legalizācijas un terorisma un proliferācijas finansēšanas novēršanas likuma 78. panta pirmās daļas 5. punktā pagaidu aizliegums pildīt noteiktus pienākumus ir klasificēts kā sankcija. Līdz ar to, atkārtoti lūdzam izvērtēt šī un citu minēto administratīvo pasākumu raksturu un papildināt 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78. panta pirmās daļas 5. punktā pagaidu aizliegums pildīt noteiktus pienākumus ir klasificēts kā sankcija, jo attiecīgā norma iekļauta likumā 2017.gadā, proti laikā, kad vēl nenotika šādas diskusijas par to, ka sankcijas un administratīvos pasākumus vajadzētu kaut kā īpaši nodalīt. Šajā laikā galvenokārt visos finanšu tirgu regulējošajos aktos tika lietots viens termins “sankcija”. Jaunākajos normatīvajos aktos pagaidu aizliegums pildīt noteiktus pienākumus pamatā tiek ir klasificēts kā administratīvais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atbildi uz iepriekšējo Tieslietu ministrijas iebildumu (TM - 02.04.2022.) Finanšu ministrija jau norādīja, ka pagaidu aizliegums valdes vai padomes loceklim vai citai fiziskajai personai, kura ir atbildīga par pārkāpumu, veikt tai noteiktos pienākumus, kā administratīvais pasākums ir noteikts virknē finanšu un kapitāla tirgus darbības uzraudzību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noteikts, piemēram, Finanšu instrumentu tirgus likuma 148.panta 8.2daļā, 15.2.daļā, 17.1daļā, 18.1daļā.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Ieguldījumu brokeru sabiedrību likuma 72.panta pirmās daļas 2.punktā ir noteikts, ka “Komisija var piemērot šādus administratīvos pasākumus: 2) noteikt pagaidu aizliegumu kapitālsabiedrības padomes vai valdes loceklim, kurš ir atbildīgs par attiecīgo pārkāpumu, uz laiku līdz trim gadiem pildīt viņam noteiktos pienākumus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Likumprojekts “Grozījumi Privāto pensiju fondu likumā” (22-TA-621) paredz papildināt 41.pantu ar 3.2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Komisijai, konstatējot Regulas Nr. 2019/1238 67.panta 2.punktā minētos pārkāpumus, ir tiesības PEPP sniedzējam vai PEPP izplatītājam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valdes vai padomes loceklim vai citai fiziskajai personai, kura ir atbildīga par pārkāpumu, veikt tai noteiktos pienākumus,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“Vērtspapīrošanas likums” sankciju un administratīvos pasākumu jautājumu, ir ņemts vērā jaunākais regulējums citos finanšu nozari reglamentējošos normatīvajos aktos. Tādējādi nav saprotama Noziedzīgi iegūtu līdzekļu legalizācijas un terorisma un proliferācijas finansēšanas novēršanas likuma 78. panta pirmās daļas 5. punkta regulējuma piesaukšana, jo konkrētā norma kopš tās pieņemšanas 2017.gadā nav tikusi pārskatīta no sankciju un administratīvo pasākumu norobežošanas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norādīto, Likumprojekta anotācija papildināta ar šādu skaidrojumu: “Aizliegums iniciatora, sponsora vai vērtspapīrošanas sabiedrības valdes un padomes (ja tāda ir izveidota) loceklim vai citai par pārkāpumu atbildīgai fiziskajai personai veikt tai noteiktos pienākumus līdz pārkāpuma izbeigšanās brīdim ir kvalificēts kā administratīvais pasākums, jo neierobežo personas tiesības ieņemt amatus citās sabiedrībās un ierobežojumam ir īslaicīgs raksturs - līdz pārkāpuma izbeigšanas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projekta 27. panta pirmās daļas 2. punktā paredzētais administratīvais pasākums "noteikt pagaidu aizliegumu iniciatora, sponsora vai vērtspapīrošanas sabiedrības valdes un padomes (ja tāda ir izveidota) loceklim vai par pārkāpumu atbildīgai fiziskajai personai veikt tai noteiktos pienākumus līdz pārkāpuma izbeigšanās brīdim" atšķiras no profesionālās darbības ierobežojumiem, kas pamatā tiek atzītas kā sankcijas. Piemēram, Noziedzīgi iegūtu līdzekļu legalizācijas un terorisma un proliferācijasfinansēšanas novēršanas likuma 78. panta pirmās daļas 5. punktā pagaidu aizliegums pildīt noteiktus pienākumus ir klasificēts kā sankcija. Savukārt šis pants papildināts ar trešo daļu, paredzot, ka Latvijas Banka administratīvos pasākumus piemēro neatkarīgi no šā likuma 26. pantā noteiktajām sankcijām. Ievērojot minēto, atkārtoti lūdzam izvērtēt šo divu un citu administratīvo pasākumu raksturu un papildināt projekta anotāciju ar atbilstošu skaidrojumu atbilstoši administratīvā pārkāpuma tiesību pamatprincipiem.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Finnanšu ministrijas lūguma Tieslietu ministrija 2022.gada 8.novembrī ir paskaidrojuoši precizējusi iebilduma būtību,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jābūt ietvertam skaidrojumam, kāds ir projekta 27. panta pirmās daļas 2. punktā paredzētā administratīvā pasākuma mērķis, jo bieži tiesību ierobežojumu gadījumā sarežģīti ir nošķirt sankcijas (sodus) un nesodoša rakstura administratīvus pasākumus. Lai nošķirtu, ir jāsaprot konkrētā pasākuma mērķis un tā bardzība. Piemēram, ja mērķis ir arī personu sodīt, tad tā ir sankcija (sods), savukārt, ja mērķis ir tikai aizsargāt noteiktas sabiedrības intereses, tas var būt nesodoša rakstura administratīvais pasākums, ja vien pasākuma bardzība jau pati par sevi nav tāda, kas liecina par sankciju (sodu). Līdz ar to lūdzam papildināt anotāciju ar skaidrojumu, kāds ir projekta 27. panta pirmās daļas 2. punktā minētā administratīvā pasākuma mērķis, ievērojot, ka nesodoša rakstura administratīva pasākuma mērķis nav saistīts ar sodīšanu, t. i.,  nav represīva rakstura.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ka projekta 27. panta pirmās daļas 2. punktā minētais administratīvais pasākums ir klasificēts kā administratīvais pasākums, jo ierobežojumam ir īslaicīgs raksturs – līdz pārkāpuma izbeigšanas brīdim. Norādām, ka no vārdiem "līdz pārkāpuma izbeigšanās brīdim" nav izsecināms ierobežojuma īslaicīgais raksturs. Pārkāpums pats parasti neizbeidzas, līdz ar to ir jautājums, vai šajā gadījumā pārkāpuma izbeigšanās būs atkarīga no personas, ievērojot to, ka, ja personai ir aizliegums veikt tai noteiktos pienākumus, persona nevarēs pati pārtraukt prettiesisko situāciju. Turklāt pārkāpuma esība tiek noteikta vien ar galīgo nolēmumu lietā. Ievērojot minēto, lūdzam izvērtēt iespēju precizēt projekta 27. panta pirmās daļas 2. punkta redakciju, atbilstoši kā tas līdzīgos gadījumos ir noteikts citos likumos. Piemēram, Ieguldījumu brokeru sabiedrību likuma 72. panta pirmās daļas 2. punktā paredzētais administratīvais pasākums noteikt pagaidu aizliegumu valdes vai padomes loceklim vai citai par pārkāpumu atbildīgajai fiziskajai personai veikt tai noteiktos pienākumus līdz galīgā nolēmuma spēkā stāšanās brīdim, bet ne ilgāk kā divus gadus. Tāpat Privāto pensiju fondu likuma 41. panta 6.4 daļas 2. punktā paredzēts administratīvais pasākums noteikt pagaidu aizliegumu valdes vai padomes loceklim vai citai fiziskajai personai, kura ir atbildīga par pārkāpumu, veikt tai noteiktos pienākumus līdz pārkāpuma novēršanas brīdim, bet ne ilgāk kā divus gadus. Ievērojot minēto, lūdzam precizēt projekta 27. panta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ir redakcionāli precizēta, paredzot šādu administratīvo pasākumu: "noteikt pagaidu aizliegumu iniciatora, sponsora vai vērtspapīrošanas sabiedrības valdes un padomes (ja tāda ir izveidota) loceklim vai par pārkāpumu atbildīgai fiziskajai personai veikt tai noteiktos pienākumus </w:t>
            </w:r>
            <w:r w:rsidR="00000000" w:rsidRPr="00000000" w:rsidDel="00000000">
              <w:rPr>
                <w:u w:val="single"/>
                <w:rtl w:val="0"/>
              </w:rPr>
              <w:t xml:space="preserve">līdz pārkāpuma novēršanas brīdim, bet ne ilgāk kā divus gadus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arī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panta pirmās daļas 2. punktā paredzēts, ka Latvijas Banka ir tiesīga "noteikt pagaidu aizliegumu iniciatora, sponsora vai vērtspapīrošanas sabiedrības valdes un padomes (ja tāda ir izveidota) loceklim vai par pārkāpumu atbildīgai fiziskajai personai veikt tai noteiktos pienākumus līdz pārkāpuma izbeigšanās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iepriekš izteiktais Tieslietu ministrijas iebildums ir ņemts vērā un norma ir redakcionāli precizēta, paredzot šādu administratīvo pasākumu: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 Tomēr projektā šādas izmaiņas nav ietvertas.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atklāšana par sankciju un administratīvo pasākumu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raksturs piemīt projekta 27. pantā paredzētajai informācijas atklāšanai par sankcijām un administratīvajiem pasākumiem un kā tas atšķiras no projekta 24. panta pirmās daļas 2. punktā minētās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24.panta 2.punktā ir paredzēta sankcija “publisks paziņojums” atbilstoši Regulas 32.panta 2.punkta a) apakšpunkta regulējumam. Savukārt Likumprojekta 27. pantā tiek regulēta  informācijas atklāšana par sankcijām un administratīvajiem pasākumiem un attiecīgais regulējums atbilst Regulas Nr. 2017/2402 37.panta regulējumam. Likumprojekta 27. pants neregulē sankciju un administratīvo pasākumu piemērošanu, bet gan informācijas publicēšanas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līdzīgi arī citos finanšu un kapitāla tirgus uzraudzības jautājumus regulējošos tiesību aktos tiek nodalīta sankcija “publisks paziņojums” no ES tiesību aktos noteiktā pienākuma atklāt jeb publicēt noteikta satura informāciju, kas nav nedz sankcija, nedz arī administratīvs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Noguldījumu garantijas likuma (redakcijā, kas stāsies spēkā 2023.gada 1.janvārī) 15.panta pirmās daļas 1.punktā ir noteikts, ka “Latvijas Banka ir tiesīga piemērot šādas sankcijas: 1) publisku paziņojumu, norādot par pārkāpumu atbildīgo noguldījumu piesaistītāju un pārkāpuma būtību”. Tādējādi publisks paziņojums atbilstoši minētajam pantam ir sankcija. Savukārt Noguldījumu garantijas likuma (redakcijā, kas stāsies spēkā 2023.gada 1.janvārī) 15.1 pants regulē sankciju un administratīvo pasākumu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Finanšu instrumentu tirgus likuma 150.pants regulē sankciju, administratīvo pasākumu un uzraudzības pasākumu publiskošanu. Vienlaikus Finanšu instrumentu tirgus likums paredz arī sankciju – publisku paziņojumu. Šāda sankcija ir noteikta, piemēram, Finanšu instrumentu tirgus likuma 148.pantā (sk. pirmās daļas 1.punkts, astotās daļas 2.punkts, sešpadsmitās daļas 1.punkts, septiņpadsmitās daļas 3.punkts, astoņpadsmitās daļas 2.punkts, divdesmitās daļas 1.punkts, divdesmit pirmās daļas 2.punkts, divdesmit otrās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Informēšana par piemērotajām sankciju un administratīvajiem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informāciju par piemēroto sankciju un administratīvo pasākumu ievieto savā tīmekļvietnē, norādot ziņas par personu un tās izdarīto pārkāpumu, kā arī par Komisijas pieņemtā lēmuma apstrīdēšanu un pieņemto nolēmumu.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Noteikumu Nr. 108 2.2. apakšpunktam normatīvā akta projekta tekstu raksta, ievērojot ne vien valsts valodas literārās un gramatiskās normas un pareizrakstības prasības, bet arī juridisko terminoloģiju. Ievērojot minēto, lūdzam aizstāt likumprojekta 27. panta pirmajā daļā vārdu "apstrīdēšanu" ar vārdu "pārsūdzēšanu" atbilstoši Administratīvā procesa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50.panta pirmo daļu "Latvijas Bankas padome izveido komiteju, kuru pilnvaro pieņemt finanšu tirgus un Latvijas Bankas uzraudzīto finanšu tirgus dalībnieku darbību regulējošos likumos noteiktos lēmumus, tostarp lēmumus par sankciju piemērošanu un lēmumus par Latvijas Bankas uzraudzīto finanšu tirgus dalībnieku tiesību, saistību izpildes un darbības ierobežojumiem." Savukārt minētā panta piektā daļa noteic, ka "Šā panta pirmajā daļā minētās komitejas lēmumu var apstrīdēt Latvijas Bankas padomē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lēmums, ar kuru tiek piemērota sankcija un administratīvais pasākumus, var tikt gan apstrīdēts (t.i., Latvijas Bankas padomē), gan arī pārsūdzēts (t.i., tiesā) atbilstoši Administratīvā 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 redakcionāli precizēta papildinot aiz vārda "apstrīdēšanu" ar vārdiem "un pārsūdzēšanu".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piemēroto sankciju un administratīvo pasākumu ievieto savā tīmekļvietnē, norādot ziņas par personu un tās izdarīto pārkāpumu, kā arī par Latvijas Bankas pieņemtā lēmuma pārsūdzēšanu un pieņemto nolēmumu.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sodu ieskaita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panta trešajā daļā ir paredzēts, ka “Naudas sodu ieskaita valsts budžetā”. Vēršam uzmanību, ka sagatavojot tiesību aktu projektus, vēlams izvairīties no tādu normu dublēšanas, kas izriet jau no citiem tiesību aktiem vai principiem. Ievērojot minēto, aicinām svītrot projekta 28. panta trešo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 minētā norma no likumprojekta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atklāšana par sankciju un administratīvo pasākumu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kāds raksturs piemīt projekta 28. pantā paredzētajai informācijas atklāšanai par sankcijām, kāds ir mērķis un kā tas atšķiras no projekta 25. panta pirmās daļas 1. punktā paredzētās sankcijas. Līdz ar to, atkārtoti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29.pantā minētās informācijas atklāšanas par sankcijām mērķis ir vērsts uz ieguldītāju interešu aizsardzību. Ieguldītājam jābūt pieejamai informācijai, kas saistīta ar viņa ieguldījumiem. Ziņas par to, ka bijis pārkāpums un to, kādas sankcija un administratīvais pasākums piemēroti, ir būtiskas ieguldītājam vai jebkuram potenciālajam ieguldītājam, lai viņš varētu novērtēt ar ieguldījumu saistītos riskus un pieņemt pamatotus lēmumus (piemēram, pārdot citam konkrēto vērtspapīrošanas pozīciju otrreizējā tirgū vai tieši otrādi – iegādāties).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26.pantā minētā publiskā paziņojuma mērķis ir vērsts uz pārkāpēja sodīšanu.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abām normām ir atšķirīgi mērķi, to īstenošanas mehānisms ir vienāds – publisks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anotācijā attiecīgu skaidrojumu faktiski ir vērsts uz to, lai Finanšu ministrija skaidrotu Regulas 32.panta 2.punkta un Regulas 37.panta prasības, kur publisks paziņojums ir regulēts. Šis jautājums, tostarp attiecībā uz mērķiem, jau ir izvērtēts Eiropas Savienības līmenī, pieņemot attiecīgo Regulu. Eiropas Savienības tiesību normas interpretē un skaidro, nevis dalībvalstu likumdevēji, bet gan Eiropas Savienības Tiesa. Likumprojekta “Vērtspapīrošanas likums” 26. un 29.pants tikai ievieš Regulas Nr. 2017/2402 32.panta 2.punktu un 37.pantu. Tā kā Regula ir stājusies spēkā un tā ir tieši piemērojama, tad plašs apcerējums anotācijā par to, kādiem atšķirīgiem mērķiem Eiropas Savienības tiesību telpā kalpo publisks paziņojums šajā gadījumā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norādīto Finanšu ministrija ņems vērā nākotnē, piedaloties darba grupu sanāksmēs Eiropas Savienības direktīvu un regulu izstrādē, iniciējot iespējamos priekšlikumus direktīvu un regulu apsvērumos sniegt plašāku skaidrojumu, kādiem dažādiem mērķiem finanšu jomā kalpo publisks paziņojums.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Informēšana par piemērotajām sankciju un administratīvajiem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Informācijas atklāšana par sankciju un administratīvo pasākumu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kāds raksturs piemīt projekta 29. pantā paredzētajai informācijas atklāšanai par sankcijām, kāds ir mērķis un kā tas atšķiras no projekta 26. panta pirmās daļas 1. punktā paredzētās sankcijas. Līdz ar to, atkārtoti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lūguma Tieslietu ministrija 2022.gada 8.novembrī paskaidrojuši precizējusi iebildumu būtību. Attiecībā uz iepriekš sniegto Finanšu ministrijas skaidrojumu par minēto jautājumu nekādi iebildumi no Tieslietu ministrijas puses vairs nav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Informēšana par piemērotajām sankciju un administratīvajiem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Objektīvu iemeslu dēļ, tostarp tad, ja lietā nepieciešama ilgstoša faktu konstatācija, Latvijas Banka, pieņemot lēmumu, var pagarināt šā panta trešajā daļā noteikto lēmuma pieņemšanas termiņu uz laiku, kas nepārsniedz trīs gadus no lietas ierosināšanas dienas. Lēmums par termiņa pagarināšanu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Administratīvā procesa likuma 64. panta otro daļu lēmumu par administratīvā akta izdošanas termiņa pagarināšanu var apstrīdēt un pārsūdzēt. Ievērojot minēto, lūdzam izslēgt likumprojekta 29. panta ceturtās daļas pēdējo teikumu vai papildināt likumprojekta anotāciju ar izvērstu skaidrojumu, kas pamato nepieciešamību noteikt likumprojektā speciālu regulējumu attiecībā uz administratīvā akta izdošanas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regulēts arī noilguma jautājums. Proti, Likumprojekts paredz, ka lēmumu par sankciju vai administratīvo pasākumu piemērošanu Latvijas Banka var pieņemt divu gadu laikā no tās ierosināšanas. Vienlaikus, objektīvu iemeslu dēļ, tostarp tad, ja lietā nepieciešama ilgstoša faktu konstatācija, Latvijas Banka, pieņemot lēmumu, var pagarināt lēmuma pieņemšanas termiņu uz laiku, kas nepārsniedz trīs gadus no lietas ierosināšanas dienas. Minētais termiņš noteikts, jo lietu izskatīšana un lēmuma pieņemšana vērtspapīrošanas jomā ir sarežģīta gan tāpēc, ka vērtspapīrošanas darījumā ir iesaistīts liels dalībnieku skaits, gan arī tāpēc, ka parasti ir nepieciešama Latvijas Bankas pārrobežu sadarbība ar citu valstu uzraugošajām iestādēm. Attiecībā uz ieguldītājiem ir jāņem vērā apstāklis, ka tie var būt no dažiem desmitiem līdz vairākiem tūkstošiem un no dažādām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iniciators, vērtspapīrošanas sabiedrība, parādus apkalpojošā sabiedrība, sponsors un citas personas, kuras nodrošina vērtspapīrošanas darījuma vai shēmas īstenošanu, var atrasties dažādās jurisdikcijās, kas papildu apgrūtina savlaicīgu vai ātru konkrētās situācijas izvērtējumu. Līdz ar to Likumprojekta 30.panta ceturtajā daļā noteiktās tiesības Latvijas Bankai pagarināt lēmuma pieņemšanas termiņu uz laiku, kas nepārsniedz trīs gadus no lietas ierosināšanas dienas, ir pamatotas ar vērtspapīrošanas darījuma vai shēmas sarežģītību un tajā iesaistīto ieguldītāju subjektu lielo skaitu un ģeogrāfisko izvietojumu."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Objektīvu iemeslu dēļ, tostarp tad, ja lietā nepieciešama ilgstoša faktu konstatācija, Latvijas Banka, pieņemot lēmumu, var pagarināt šā panta trešajā daļā noteikto lēmuma pieņemšanas termiņu uz laiku, kas nepārsniedz trīs gadus no lietas ierosināšanas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Objektīvu iemeslu dēļ, tostarp tad, ja lietā nepieciešama ilgstoša faktu konstatācija, Latvijas Banka, pieņemot lēmumu, var pagarināt šā panta trešajā daļā noteikto lēmuma pieņemšanas termiņu uz laiku, kas nepārsniedz trīs gadus no lietas ierosināšanas dienas. Lēmums par termiņa pagarināšanu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Administratīvā procesa likuma 64. panta otro daļu </w:t>
            </w:r>
            <w:r w:rsidR="00000000" w:rsidRPr="00000000" w:rsidDel="00000000">
              <w:rPr>
                <w:u w:val="single"/>
                <w:rtl w:val="0"/>
              </w:rPr>
              <w:t xml:space="preserve">lēmumu par administratīvā akta izdošanu pieņemšanas termiņa pagarināšanu var apstrīdēt un pārsūdzēt</w:t>
            </w:r>
            <w:r w:rsidR="00000000" w:rsidRPr="00000000" w:rsidDel="00000000">
              <w:rPr>
                <w:rtl w:val="0"/>
              </w:rPr>
              <w:t xml:space="preserve">. Kaut arī lēmums par termiņa pagarinājumu nav administratīvais akts, jo tam trūkst galīgā noregulējuma rakstura, bet gan procesuālais lēmums, likumdevējs to ir uzskatījis par lēmumu, kas var būtiski ietekmēt dalībnieku tiesības vai intereses un devis iespēju to apstrīdēt un pārsūdzēt  (</w:t>
            </w:r>
            <w:r w:rsidR="00000000" w:rsidRPr="00000000" w:rsidDel="00000000">
              <w:rPr>
                <w:i w:val="1"/>
                <w:rtl w:val="0"/>
              </w:rPr>
              <w:t xml:space="preserve">sk. Briede J. Administratīvā procesa virzība iestādē. Grām.: Administratīvā procesa likuma komentāri. A un B daļa. Rīga, Tiesu namu aģentūra, 2013. 614.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30. panta ceturtās daļas pēdējo teikumu vai papildināt likumprojekta anotāciju ar izvērstu skaidrojumu, kas pamato nepieciešamību likumprojektā noteikt, ka Latvijas Bakas </w:t>
            </w:r>
            <w:r w:rsidR="00000000" w:rsidRPr="00000000" w:rsidDel="00000000">
              <w:rPr>
                <w:u w:val="single"/>
                <w:rtl w:val="0"/>
              </w:rPr>
              <w:t xml:space="preserve">lēmums par termiņa pagarināšanu</w:t>
            </w:r>
            <w:r w:rsidR="00000000" w:rsidRPr="00000000" w:rsidDel="00000000">
              <w:rPr>
                <w:rtl w:val="0"/>
              </w:rPr>
              <w:t xml:space="preserve"> lietā par likumprojektā noteikto sankciju un administratīvo pasākumu piemērošanu nav pārsūdzams.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norādītajam no Likumprojekta svītrota norma, kas paredzēja, ka Latvijas Bankas lēmums par termiņa pagarinājumu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Objektīvu iemeslu dēļ, tostarp tad, ja lietā nepieciešama ilgstoša faktu konstatācija, Latvijas Banka, pieņemot lēmumu, var pagarināt šā panta trešajā daļā noteikto lēmuma pieņemšanas termiņu uz laiku, kas nepārsniedz trīs gadus no lietas ierosināšanas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likumprojekta spēkā stāšanās datumu vai citu spēkā stāšanās nosacījumu atbilstoši Ministru kabineta 2009. gada 3. februāra noteikumu Nr. 108 "Normatīvo aktu projektu sagatavošanas noteikumi" 30. punktā noteiktajam vai izslēgt likumprojekta spēkā stāšanās noteikumu, vienlaikus precizējot likumprojekta anotācijas 1.2. 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norāde ir izslēgta. Vienlaikus arī anotācijas 1.2.sadaļā ir norādīts, ka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4.1. sadaļu ar pamatojumu un aprakstu par šajā sadaļā minēto normatīvo aktu saistību ar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attiecīgā sadaļa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jēdziena "īstas pārdošanas princips" saturu. Tajā skaitā, vai, ja vērtspapīrošanas sabiedrība pati var neveikt no parādnieka vai nodrošinājuma devēja (galvotāja) ienākošo maksājumu plūsmas apkalpošanu un atbilstoši Likumprojekta 11. panta otrajā daļa noteiktajam vērtspapīrošans sabiedrība savas iegūtās tiesības var nenostiprināt publiskajos reģistros, var uzskatīt, ka attiecībā uz aktīviem tiek īstenots īstas pārdošanas princips. Proti, vai īstas pārdošanas principa ievērošanai pietiek tikai ar darījuma par prasījuma tiesību nodošanu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“Īsta pārdošana” nav skaidri definēts juridisks jēdziens Latvijas vai citu ES dalībvalstu tiesībās. “Īstas pārdošanas princips” ir termins, kuru tirgus dalībnieki galvenokārt lieto grāmatvedības izpratnē, lai nošķirtu bilances (on-balance sheet) un ārpusbilances (off-balance sheet) posteņu uzskaitīšanu.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Vērtspapīrošanā, lai raksturotu “īstu pārdošanu”, parasti tiek analizēts vairāku pazīmju kopums. Eiropas Rekonstrukciju un attīstības bankas 2019. gada 7. februāra pētījumā “Ievads segto obligāciju un vērtspapīrošanas juridiskajam un normatīvajam ietvaram Latvijā” (“Introduction of a covered bond and securitisation legal and regulatory framework in Latvia”) ir norādītas galvenās pazīmes (kritēriji), kuras ļauj raksturot konkrēto vērtspapīrošanas darījumu kā tādu, kas atbilst “īstas vērtspapīrošanas principam”,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method used should: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ensure that there is a clear legal claim over the assets which cannot, for example, be challenged by unsecured creditors of the bank. This will include ensuring that the transaction cannot be re-characterised by a court in the event of the bank subsequently entering resolution or insolvency;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transfer both the primary assets (for example, the right to receive interest and payment under the mortgage agreement) and the ancillary rights (for example both the loan and the security over that loan);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 compatible with the terms of the underlying assets. In some cases mortgage loan agreements have restrictions on the ability of the bank to transfer the assets;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ideally, the method of transfer should prevent the borrowers included in the pool from netting their liabilities under the mortgage with any assets that they may have with the bank – such as their current account.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If the above criteria are all met the transfer could be described as a ‘true sale’.” (sk. minētā pētījuma 32.lpp. Pieejams: 2019-02-22_11_54_37_concept-paper.abs-securitization.2019-02-07.eng.final.with-logos1.pdf (fm.gov.lv))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vispārināts “īstas pārdošanas principa” skaidrojums ir sniegts Regulas 2017/2402 apsvērumos. Minētās Regulas 22.apsvērumā norādīts, ka “[..] Īstas pārdošanas vērtspapīrošanā īpašumtiesības uz pamatā esošajiem riska darījumiem tiek nodotas vai faktiski cedētas emitentsabiedrībai, kas ir SSPE [t.i., vērtspapīrošanas sabiedrība].” Savukārt minētās Regulas 24.apsvērumā ir sniegts skaidrojums, kādi darījumi neatbilst “īstai pārdošanai”, proti: “Vērtspapīrošanas darījumos, kas nav “īsta pārdošana”, pamatā esošie riska darījumi netiek nodoti emitentsabiedrībai, kas ir SSPE; ar pamatā esošajiem riska darījumiem saistītais kredītrisks tiek nodots, izmantojot atvasinātā instrumenta līgumu vai galvojumus.” Kā redzams, tad termins “īsta pārdošana” tiek lietots, raksturojot tā saucamo tradicionālo vērtspapīrošanu (sk. Regulas 2017/2402 2.panta 9.apakšpunkta definīciju), kas ir viens no vērtspapīrošanas veidiem. Otrs veids ir sintētiskā vērtspapīrošana (sk. Regulas 2017/2402 2.panta 10.apakšpunkta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uzdoto jautājumu par to, vai var uzskatīt, ka tiek īstenots īstas pārdošanas princips, ja vērtspapīrošanas sabiedrība pati neveic no parādnieka vai nodrošinājuma devēja (galvotāja) ienākošo maksājumu plūsmas apkalpošanu, norādāms, ka tas, kura persona veic parādus apkalpojošās sabiedrības funkcijas, nekādi neietekmē jautājumu par to, vai vērtspapīrošana klasificējas “īstas pārdošanas” kritērijiem. Vērtspapīrošanas sabiedrības izveidošanas galvenais mērķis ir juridiski nodalīt vērtspapīrotos aktīvus no citiem iniciatora aktīviem, lai iniciatora maksātnespējas gadījumā vērtspapīrotie aktīvi nevarētu tikt izmantoti iniciatora kreditoru prasījumu segšanai. Parādus apkalpojošā sabiedrība ir tikai aktīvu pārvaldītājs, kas uz līgumiska pamata pārvalda vērtspapīrošanas sabiedrības nopirkto debitoru parādu portfeli, kurš juridiski pieder vērtspapīrošanas sabiedrībai. Ja atbilstoši vērtspapīrošanas dokumentācijas noteikumiem parādus apkalpojošās sabiedrības funkcijas veic iniciators, tad iniciatoram (kā parādus apkalpojošajai sabiedrībai) ir tiesības vienīgi uz līgumā noteiktās atlīdzības saņemšanu par attiecīgā pakalpojuma sniegšanu, proti, prasījuma tiesības uz saistības izpildījumu, nevis lietu tiesības (īpašumtiesības) uz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11.pants, tai skaitā arī šā panta otrā daļa, neregulē aktīvu pāreju no iniciatora uz vērtspapīrošanas sabiedrību, bet gan ar aktīviem saistītā nodrošinājuma pāreju. Piemēram, kredītiestāde (iniciators) cesijas ceļā nodod (pārdod) kredītprasības vērtspapīrošanas sabiedrībai. Ar cesiju cesionāram (vērtspapīrošanas sabiedrībai) pāriet arī visi cedētā parāda nodrošinājumi (sk. Civillikuma 1806.pantu, Komercķīlas likuma 35.panta pirmo daļu). Pati cesija ir darījums, kas nav jāreģistrē nekādā reģistrā, lai tā būtu spēkā. Taču, lai attiecīgo nodrošinājumu cesionārs varētu izlietot, viņam ir nepieciešams veikt attiecīgas izmaiņas publiskajos reģistros, jo ķīlas tiesība ir lietu tiesība (sk. Civillikuma 1375.pantu, Komercķīlas likuma 35.panta otro daļu). Līdz ar to Likumprojekta 11.pantā vēlreiz tiek atkārtots vispārīgais princips, ka izmaiņas zemesgrāmatā vai citā publiskā reģistrā vērtspapīrošanas sabiedrībai būtu jāveic tikai tad, ja tai rastos nepieciešamība izlietot nodrošinājumu, piemēram, parādnieks neveic kredīta atmaksu. Līdzīgi jautājums par ar aktīviem saistītā nodrošinājuma pāreju ir regulēts arī Segto obligāciju likuma 17.panta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teikto, atbilde uz jautājumu, vai īstas pārdošanas principa ievērošanai pietiek tikai ar darījuma par prasījuma tiesību nodošanu noslēgšanu, ir apstiprinoša.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pašā Likumprojektā vispār netiek minēts termins “īsta pārdošana”, bet anotācijā šis termins tiek minēts vienīgi saistībā ar Regulas Nr. 2017/2402 20.panta 2.punkta prasību ieviešanu, kuras konkretizētas  Likumprojekta 14.pantā. Tā kā termins “īsta pārdošana” nav skaidri definēts juridisks jēdziens, tad anotācija ir papildināta ar termina “īsta pārdošana” skaidrojumu, kāds ir sniegts Regulas Nr. 2017/2402 22.apsvērumā.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un kapitāla tirgus komisija uzskatāma par kompetento iestādi Latvijā Regulas Nr. 2017/2402 29. panta 4. un 5.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2. panta 3. punktā noteikts, ka Finanšu un kapitāla tirgus komisijas apzīmēšanai turpmāk likumprojekta tekstā tiek lietots saīsinājums "Komisija". Ievērojot minēto, lūdzam precizēt likumprojekta 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citiem Tieslietu ministrijas iebildumiem Finanšu un kapitāla tirgus komisija Likumprojektā aizstāta ar Latvijas Banku. Līdz ar to saīsinājums "Komisija" Likumprojekta tekstā vairs netiek lietots.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Vērtspapīrošanas sabiedrība ir tiesīga vienlaicīgi īstenot tikai vienu vērtspapīrošanas darījumu vai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likumprojekta 6. panta ceturtās daļas atbilstību Eiropas Parlamenta un Padomes 2017. gada 12. decembra regulas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2017/2402) 2. panta 2. punktam, saskaņā ar kuru “īpašam nolūkam dibināta sabiedrība, kas veic vērtspapīrošanu” </w:t>
            </w:r>
            <w:r w:rsidR="00000000" w:rsidRPr="00000000" w:rsidDel="00000000">
              <w:rPr>
                <w:rtl w:val="0"/>
              </w:rPr>
              <w:t xml:space="preserve">jeb “SSPE”</w:t>
            </w:r>
            <w:r w:rsidR="00000000" w:rsidRPr="00000000" w:rsidDel="00000000">
              <w:rPr>
                <w:rtl w:val="0"/>
              </w:rPr>
              <w:t xml:space="preserve"> ir korporācija, trasta sabiedrība vai cita sabiedrība, kas nav iniciators vai sponsors, un kura ir izveidota, lai veiktu vienu </w:t>
            </w:r>
            <w:r w:rsidR="00000000" w:rsidRPr="00000000" w:rsidDel="00000000">
              <w:rPr>
                <w:u w:val="single"/>
                <w:rtl w:val="0"/>
              </w:rPr>
              <w:t xml:space="preserve">vai vairākus</w:t>
            </w:r>
            <w:r w:rsidR="00000000" w:rsidRPr="00000000" w:rsidDel="00000000">
              <w:rPr>
                <w:rtl w:val="0"/>
              </w:rPr>
              <w:t xml:space="preserve"> vērtspapīrošanas darījumus, kuras darbības aprobežojas ar to, kas ir nepieciešams minētā mērķa sasniegšanai, kuras struktūra ir paredzēta, lai SSPE pienākumus nošķirtu no iniciatora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minētais jautājums jau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atbilstoši Regulā Nr. 2017/2402 sniegtajai definīcijai vērtspapīrošanas sabiedrība varētu tikt izveidota arī ar mērķi veikt vairākus vērtspapīrošanas darījumus, jānorāda, ka Regula arī neizvirza tādu nosacījumu, ka dalībvalstīm jārada tiesiski priekšnoteikumi tam, lai vērtspapīrošanas sabiedrībai būtu iespējama vienlaicīgi vairāku vērtspapīrošanas darījumu vai shēmu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secināts, ka tāda regulējuma, kas ļautu vērtspapīrošanas sabiedrībai vienlaicīgi īstenot vairākus vērtspapapīrošanas darījumus, ieviešana prasītu būtiskas izmaiņas šobrīd spēkā esošajā Maksātnespējas likuma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secināts, ka atbilstoši šā brīža Maksātnespējas likuma regulējumam situācijā, kad ir veikti vairāki vērtspapīrošanas darījumi vai shēmas, bet problēmas norēķināties vērtspapīrošanas sabiedrībai ir tikai saistībā ar vienu darījumu, par maksātnespējīgu būtu pasludināma juridiskā persona kopumā. Tas automātiski nozīmē to, ka sabiedrības pārvaldes institūcijas (valdes) darbība tiek apturēta un sabiedrības pārvaldīšanu veic administrators. Maksātnespējas procesa pasludināšanas sekas, cita starp ir arī tādas, ka apstājas aizdevuma (kredīta) lietošanas procentu, likumisko procentu, līgumsoda un nokavējuma naudas pieaugums. Sabiedrības saistības, kuru izpildes termiņš iestājas pēc dienas, kad pasludināts juridiskās personas maksātnespējas process, uzskatāmas par tādām, kurām izpildes termiņš iestājies juridiskās personas maksātnespējas procesa pasludināšanas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sekas iestājas attiecībā uz juridisko personu kopumā. Tas nozīmē, ka gadījumā, ja ir vairāki vērtspapīrošanas darījumi vai shēmas, bet tikai viens darījums vai shēma ir problemātisks, tiek skartas arī ieguldītāju un kreditoru likumiskās intereses arī citos vērtspapīrošanas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 ir skaidrots arī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lai pēc iespējas vienkāršotu ar vērtspapīrošanas sabiedrības maksātnespējas procesu saistītos jautājumu risināšanu, Likumprojekts paredz noteikt, ka vērtspapīrošanas sabiedrība ir tiesīga vienlaicīgi īstenot tikai vienu vērtspapīrošanas darījumu vai shēmu. Šādas normas mērķis ir pēc iespējas padarīt vienkāršāku vērtspapīrošanas sabiedrības maksātnespējas procesa administrēšanu hipotētiski iespējamās situācijās, kad viena vērtspapīrošanas sabiedrība varētu tikt izmantota vairāku vērtspapīrošanas darījmu vai shēmu īstenošanai, bet problēmas saistībā ar norēķiniem pret ieguldītājiem vai citiem kreditoriem rodas tikai vienas vērtspapīrošanas shēmas ietvaros. Tā kā Likumprojekts neparedz īpašas prasības vērtspapīrošanas sabiedrības dibināšanai attiecībā uz to, kas var būt dibinātāji, kādam jābūt minimālajam pamatkapitāla slieksnim u.tml., tad aizliegums vērtspapīrošanas sabiedrībai īstenot vairākus vērtspapīrošanas darījumus vai shēmas nerada arī papildus administratīvo slogu iniciatoram.”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Vērtspapīrošanas sabiedrība ir tiesīga vienlaicīgi īstenot tikai vienu vērtspapīrošanas darījumu vai shēmu.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Īpaši noteikumi par atļauju (licenci) patērētāju kreditēšanas pakalpojuma un parādu ārpustiesas atgūšanas pakalpojuma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izsaka priekšlikumu regulēt arī pārrobežu apstākli - gadījumus, kad Vērtspapīrošanas sabiedrība nav dibināta Latvijā. Tas ir nepieciešams, lai būtu skaidrs, vai arī uz šādu situāciju attiektos Likumprojekta 7.pantā noteiktais izņēmums par licences nepieciešamību patērētāju kreditēšanas pakalpojuma un parādu ārpustiesas atgūšanas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EM padotības iestāde, kas izsniedz speciālās atļaujas (licences) patērētāju kreditēšanas pakalpojumu sniedzējiem un kas ir PTAL/PĀAL uzraudzības iestāde. Līdz ar to  ir nepieciešams regulēt arī situāciju, ja portfelis tiek pārdots ārvalstīs licencētai vērtspapīrošanas sabiedrībai - vai uz šādu gadījumu arī attiektos izņēmums par licences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pirmā daļa papildināta ar teikumu: “Šā panta pirmajā daļā noteiktais attiecināms arī uz tādu vērtspapīrošanas sabiedrību, kas nav reģistrēta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Īpaši noteikumi par atļauju (licenci) patērētāju kreditēšanas pakalpojuma un parādu ārpustiesas atgūšanas pakalpojuma 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starp parādnieku un iniciatoru, ar kuru ir aizliegta vai ierobežota aktīvu atsavināšana vai nodošana citai personai, nav spēkā, ja aktīvu atsavināšanu veic iniciators šajā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starpā norādīts, ka vērcpapīrošanas darījumus Latvijā jau šobrīd iespējams veikt atbilstoši spēkā esošajiem normatīvajiem aktiem, līdz ar ko konkrētās likumprojekta normas iekļaušana likumprojektā nav absolūti nepieciešama, lai sasniegtu likumprojekta mērķi - radītu tiesisko ietvaru vērcpapīrošanas darījumiem. Līdz ar ko aicinām atkārtoti izvērtēt, vai konkrētās normas iekļaušana ir pamatota un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9.punktā jau sniegts skaidrojums, kāpēc atbilstoši Pārejas noteikumiem Likumprojekta “Vērtspapīrošanas likums” 13.panta pirmā daļa attiecināma arī uz vienošanos starp parādnieku un iniciatoru, kas noslēgta pirms šā likuma spēkā stāšanās dienas. Šāda Pārejas noteikuma iekļaušana ir nepieciešama nevis tāpēc, ka bez tādas Latvijā nebūtu iespējams veikt vērtspapīrošanu, bet gan tāpēc, ka šāda Pārejas noteikuma neiekļaušanas gadījumā iniciatoram būtu jāvelta apjomīgs darbs, lai izpētītu un pārskatītu visus noslēgtos līgumus, koncentrējoties uz viena aspekta pārbaudi – ir vai nav konkrētajā līgumā iekļauts aktīvu (cesijas) atsavināšanas aizliegums. Šāda jau noslēgto līgumu izpēte kopumā sadārdzinātu vērtspapīrošanu. Jāņem vērā to, ka, piemēram, kredītprasību gadījumā, ja tās ietilpst aktīvu portfelī, kurus iniciators atsavina vērtspapīrošanas sabiedrībai, varētu ietilpt vairāki desmiti tūkstošu prasījumu. Līdz ar to pilnīgi visu noslēgto līgumu juridiskā izpēte, lai identificētu nelielu skaitu līgumu, kuros līgumiski noteikts aizliegums cedēt prasījumu, būtu laikietilpīga un dārga. Tādējādi kopumā vērtspapīrošana kā kapitāla piesaistīšanas veids būtu mazāk pievilcīga tiem uzņēmumiem, kas varētu apsvērt šādu kapitāla piesaistes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ir vērtēts tas, vai šāds ierobežojums no pamattiesību viedokļa ir samērīgs attiecībā pret parādnieku, kurš līgumā pielīdzis attiecīgu klauzulu, kas paredz prasījuma (cesijas) atsavināšanu. Jāņem vērā, ka pat neskatoties uz to, ka iniciators vērtspapīrošanas gadījumā īpašumtiesības uz prasījumu nodod vērtspapīrošanas sabiedrībai, parasti parādus apkalpojošās sabiedrības funkcijas turpina veikt pats iniciators. Līdz ar to tiesiskajās attiecībās, proti, no aizdevuma (kredīta) līguma izrietošo pienākumu izpildē, no parādnieka viedokļa nekas nemainās. Periodiskos naudas maksājumus parādnieks turpina maksāt iniciatoram un arī visa komunikācija parādniekam, kas iepriekš notika ar agrāko kreditoru (iniciatoru), tāpat tiek turpināta ar viņu. Parādnieks, ja viņš savlaicīgi pilda visas saistības, visbiežāk pat visa vērtspapīrošanas darījuma vai shēmas laikā var neuzzināt, ka konkrētais prasījums pret viņu ir atsavināts (cedēts) vērtspapīrošanas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Segto obligāciju likumā, kas stājās spēkā 23.06.2021., ir iekļauts identisks Pārejas noteikumu 2.punkts, kas noteic, ka “Šā likuma 21. panta otrā daļa attiecas arī uz vienošanos starp parādnieku un emitentu, kas noslēgta pirms šā likuma spēkā stāšanās dienas.” Kā norādīts Regulas Nr. 2017/2402 41.apsvērumā, tad "Segtās obligācijas un vērtspapīrošanas darījumi zināmā mērā ir savstarpēji aizvietojami”. Proti, atsevišķos gadījumos (piemēram, kredītiestādes) to pašu mērķi var sasniegt arī ar segto obligāciju emisiju. Tā kā vērtspapīrošana un segtās obligācijas dažkārt var tikt aizvietotas, tad atšķirīga tiesiskā režīma piemērošanai šādā salīdzināmā situācijā nav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starp parādnieku un iniciatoru, ar kuru ir aizliegta vai ierobežota aktīvu atsavināšana vai nodošana citai personai, nav spēkā, ja aktīvu atsavināšanu veic iniciators šajā likumā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Ieguldītājiem ir tiesības celt prasības pret vērtspapīrošanas sabiedrību vienīgi gadījumā, ja to paredz vērtspapīrošanas darījumu dokumentācijas noteikumi, un tikai tādā apmērā, kādā aktīvi nodrošina konkrēto laidienu. Vērtspapīrošanas darījumu dokumentācijas noteikumos var paredzēt, ka katrs atsevišķais ieguldītājs nevar celt prasību un ka lēmumu par prasību celšanu ieguldītāji pieņem vērtspapīrošanas darījumu dokumentācijas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16. panta pirmajā daļā ietverto regulējumu, jo tas nonāk pretrunā ar izziņas par atzinumos sniegtajiem iebildumiem 12. punktā sniegto skaidrojumu, ka "Kreditora tiesības celt prasības pret vērtspapīrošanas sabiedrību var tikt ierobežotas vienīgi pamatojoties uz līgumisku klauzulu. Ja līgumā starp vērtspapīrošanas sabiedrību un otru līdzēju (kreditoru) šāda klauzula ir iekļauta, tad tā liedz kreditoram celt prasību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izziņas 12.punktā ir izteikts šādā redakcijā: “Atbilstoši Likumprojektam kreditoram ir atļauta  prasību celšana pret vērtspapīrošanas sabiedrību vienīgi tad, ja šāda tiesība tam ir pielīgta, proti, pamatojoties uz līgumisku klauzulu.”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Ieguldītājiem ir tiesības celt prasības pret vērtspapīrošanas sabiedrību vienīgi gadījumā, ja to paredz vērtspapīrošanas darījumu dokumentācijas noteikumi, un tikai tādā apmērā, kādā aktīvi nodrošina konkrēto laidienu. Vērtspapīrošanas darījumu dokumentācijas noteikumos var paredzēt, ka katrs atsevišķais ieguldītājs nevar celt prasību un ka lēmumu par prasību celšanu ieguldītāji pieņem vērtspapīrošanas darījumu dokumentācijas noteikumos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likums vērtspapīrošanas sabiedrībai ir piemērojams, ciktāl šis likums nenosaka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dublē saistīto likumprojektu "Grozījums Maksātnespējas likumā". Ierosinām izvērtēt šīs normas saglabāšanas nepieciešamību šajā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redakcija ir formulēta atbilstoši tam regulējumam, kāds pastāv attiecībā uz segtajām obligācijām, proti, Segto obligāciju likuma 79.panta pirmā daļa noteic, ka “Maksātnespējas likums segto obligāciju sabiedrībai ir piemērojams, ciktāl šis likums nenosaka citādi.” Vienlaikus arī Maksātnespējas likuma 2.panta septītajā daļā ir noteikts, ka “Uz segto obligāciju sabiedrībām, kas izveidotas saistībā ar emitenta segto obligāciju programmu seguma aktīvu nošķiršanai, attiecināmi šā likuma noteikumi, ciktāl Segto obligāciju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var piekrist norādei, ka, iespējams, Likumprojekta 17.panta pirmā daļa nav nepieciešama, jo attiecīgs regulējums jau ir paredzēts arī saistītajā likumprojektā “Grozījums Maksātnespējas likumā”. Taču, no otras puses, minētā norma ir pilnībā saskaņota ar saistīto likumprojektu “Grozījums Maksātnespējas likumā”, līdz ar to tiesību normu kolīzijas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ar regulējumu Segto boligāciju likumā, Likumprojekta 17.panta pirmā daļa pašlaik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likums vērtspapīrošanas sabiedrībai ir piemērojams, ciktāl šis likums nenosaka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III nodaļa nenoteic Finanšu un kapitāla tirgus komisijas (turpmāk – komisija) tiesības un pienākumus, veicot likumprojektā noteikto prasību izpildes uzraudzību, bet noteic Finanšu un kapitāla tirgus komisijas administratīvo aktu (lēmumu), kas izdoti saskaņā ar likumprojektu, pārsūdzēšanas kārtību un kārtību, kādā vērtspapīrošanas sabiedrība sniedz komisijai statistikas datus. Informējam, ka ar terminu "uzraudzība" saprot stāvokli, kad kāds tiek uzmanīts vai vērots, lai nepieļautu, ka kāds veic darbības vai izturas neatbilstoši noteiktām prasībām, normām, kā arī lai sargātu no kā nevēlama (</w:t>
            </w:r>
            <w:r w:rsidR="00000000" w:rsidRPr="00000000" w:rsidDel="00000000">
              <w:rPr>
                <w:i w:val="1"/>
                <w:rtl w:val="0"/>
              </w:rPr>
              <w:t xml:space="preserve">sk. Latvijas Universitātes Matemātikas un informātikas institūta Mākslīgā intelekta laboratorijas tiešsaistes vārdnīca tezaurs.lv, 2022</w:t>
            </w:r>
            <w:r w:rsidR="00000000" w:rsidRPr="00000000" w:rsidDel="00000000">
              <w:rPr>
                <w:rtl w:val="0"/>
              </w:rPr>
              <w:t xml:space="preserve">). Norādām, ka, ja likumprojektā izmanto gan nodaļu, gan pantu nosaukumus, šiem nosaukumiem jābūt savstarpēji saderīgiem un saturiski jāiekļaujas attiecīgās nodaļas nosaukumā (</w:t>
            </w:r>
            <w:r w:rsidR="00000000" w:rsidRPr="00000000" w:rsidDel="00000000">
              <w:rPr>
                <w:i w:val="1"/>
                <w:rtl w:val="0"/>
              </w:rPr>
              <w:t xml:space="preserve">sk. Valsts kanceleja. Normatīvo aktu projektu izstrādes rokasgrāmata, 2016. 23.-24.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III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21.pants, līdz ar to III. nodaļas nosaukums pašlaik atspoguļo arī šajā nodaļā iekļauto pantu saturu. Proti, minētā norma izteikta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kompetento iestādi Latvijā Regulas Nr. 2017/2402 29. panta 4. un 5. punkta izpratnē uzskatāma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veic iniciatoru, sākotnējo aizdevēju, sponsoru, vērtspapīrošanas sabiedrību un trešo personu, kas pārbauda vērtspapīrošanas atbilstību vienkāršības, pārredzamības un standartizācijas prasībām, darbības uzraudzību saskaņā ar Regulā Nr. 2017/2402 un citos Eiropas Savienības tieši piemērojamos tiesību aktos vērtspapīrošanas jomā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Bankai, īstenojot uzraudzību vērtspapīrošanas jomā, ir Regulas Nr. 2017/2402 30.panta 2., 3., 4. un 5.punktā minētās kompetentās iestādes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Latvijas Bankas lēmuma apstrīdēšana un pārsūdzēšana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22. pants neregulē Latvijas Bankas lēmuma apstrīdēšanu. Ievērojot minēto, lūdzam atbilstoši precizēt likumprojekta 22. panta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Likumprojektā mazliet mainīts pantu izvietojums, proti, norma, kas regulē Latvijas Bankas izdotā administratīvā akta pārsūdzēšanu ir pārcelta kā priekšpēdējā.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iesniegto dokumentu izskatīšanu Regulas Nr. 2017/2402 28.panta 1.punktā minētās atļaujas izsniegšanai trešajām personām, kas pārbauda vērtspapīrošanas atbilstību vienkāršības, pārredzamības un standartizācijas prasībām, Latvijas Bankai maksājama vienreizēja maksa 5000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22. un 25. pantā lietoto Eiropas Savienības vienotās valūtas apzīmējumu, jo normatīvajos aktos Eiropas Savienības vienotās valūtas apzīmēšanai lieto vārdu "</w:t>
            </w:r>
            <w:r w:rsidR="00000000" w:rsidRPr="00000000" w:rsidDel="00000000">
              <w:rPr>
                <w:i w:val="1"/>
                <w:rtl w:val="0"/>
              </w:rPr>
              <w:t xml:space="preserve">euro</w:t>
            </w:r>
            <w:r w:rsidR="00000000" w:rsidRPr="00000000" w:rsidDel="00000000">
              <w:rPr>
                <w:rtl w:val="0"/>
              </w:rPr>
              <w:t xml:space="preserve">"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Noformēts slīprakstā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iesniegto dokumentu izskatīšanu Regulas Nr. 2017/2402 28.panta 1.punktā minētās atļaujas izsniegšanai trešajām personām, kas pārbauda vērtspapīrošanas atbilstību vienkāršības, pārredzamības un standartizācijas prasībām, Latvijas Bankai maksājama vienreizēja maksa 5000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sniegšana Latvijas Bankai statistikas datu apkopošanai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likumprojektu, lūdzam izslēgt 23. pantu, atbilstoši precizējot arī likumprojekta anotāciju. Vēršam uzmanību, ka likumprojekta 23. panta pirmajā daļā ietvertā norma, ka Latvijas Bankas uzraudzības funkciju veikšanai un statistikas datu apkopošanai Latvijas Bankai ir tiesības pieprasīt no vērtspapīrošanas sabiedrības Eiropas Centrālās bankas 2013. gada 18. oktobra regulā (ES) Nr. 1075/2013 par vērtspapīrošanas darījumos iesaistīto finanšu instrumentsabiedrību aktīvu un pasīvu statistiku (pārstrādāta versija) (ECB/2013/40) (turpmāk – Regula Nr. 1075/2013) neminētu informāciju, faktiski ir lieka, jo šādas tiesības vispārīgā veidā Latvijas Bankai paredz Latvijas Bankas likuma 10. un 63. pants. Savukārt likumprojekta 23. panta otrajā daļā noteikto sarakstu publicēšana Latvijas Bankas tīmekļvietnē ir jau paredzēta Latvijas Bankas 2022. gada 5. decembra noteikumu Nr. 233 "Statistisko datu par finanšu instrumentsabiedrību finansiālo stāvokli (FIS) sagatavošanas un iesniegšanas noteikumi"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Likumprojekta iesniegšanas Ministru kabinetā, priekšlikums nav ņemts vērā. Taču šis jautājums tiks izvērtēts un ņemts vērā, sagatavojot priekšlikumus iesniegšanai Saeimas Budžeta un finanšu (nodokļu)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sniegšana Latvijas Bankai statistikas datu apkopošanai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reģistrēta vērtspapīrošanas sabiedrība sniedz Latvijas Bankai Eiropas Centrālās bankas 2013. gada 18. oktobra regulā (ES) Nr. 1075/2013 par vērtspapīrošanas darījumos iesaistīto finanšu instrumentsabiedrību aktīvu un pasīvu statistiku (pārstrādāta versija) (ECB/2013/40) (turpmāk – Regula Nr. 1075/2013) noteikto informāciju Latvijas Bankas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23. panta pirmās daļas nav saprotams, vai tajā ir domāts pilnvarojums Latvijas Bankai izdot ārēju normatīvo aktu, vai arī atsauce uz Latvijas Bankas izdoto regulējumu. Vēršam uzmanību, ka saskaņā ar Ministru kabineta 2009. gada 3. februāra noteikumu Nr. 108 "Normatīvo aktu projektu sagatavošanas noteikumi" 62. punktu likumprojektā neietver atsauces uz zemāka juridiskā spēka normatīvo aktu. Savukārt vispārīgs pilnvarojums Latvijas Bankai noteikt statistisko datu sagatavošanas un iesniegšanas prasības un kārtību, iesniegšanas termiņu, kā arī personas, kurām ir pienākums iesniegt statistiskos datus, jau ir paredzēts Latvijas Bankas likuma 63. panta otrajā daļā. Turklāt Eiropas Centrālās bankas 2013. gada 18. oktobra regulas (ES) Nr. 1075/2013 par vērtspapīrošanas darījumos iesaistīto finanšu instrumentsabiedrību aktīvu un pasīvu statistiku (pārstrādāta versija) (ECB/2013/40) prasības statistisko datu sniegšanai un finanšu instrumentsabiedrību saraksta publicēšanai tiek īstenotas saskaņā ar Latvijas Bankas 2022. gada 5. decembra noteikumiem Nr. 233 "Statistisko datu par finanšu instrumentsabiedrību finansiālo stāvokli (FIS) sagatavošanas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23.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 panta pirmā daļa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26. panta pirmās daļas 2. punkta redakcija atšķiras no tās, kas norādīta izziņas par atzinumos sniegtajiem iebildumiem 23. punkta trešajā kolonnā. Lūdzam saskaņot minētās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pirmās daļas 2.punktā vārdi “līdz pārkāpuma izbeigšanās brīdim” aizstāti ar vārdiem “līdz pārkāpuma novēršanas brīdim, bet ne ilgāk kā divus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novēršanas brīdim, bet ne ilgāk kā divus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piemēroto sankciju un administratīvo pasākumu ievieto savā tīmekļvietnē, norādot ziņas par personu un tās izdarīto pārkāpumu, kā arī par Latvijas Bankas pieņemtā lēmuma apstrīdēšanu un pārsūdzēšanu un pieņemto nolēmumu.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28. panta pirmo daļu, ņemot vērā, ka likumprojekta 30. pants neparedz Latvijas Bankas pieņemtā lēmuma apstrīdēšanu.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28.pantā svītrots vārds “apstrīdēšanu”.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piemēroto sankciju un administratīvo pasākumu ievieto savā tīmekļvietnē, norādot ziņas par personu un tās izdarīto pārkāpumu, kā arī par Latvijas Bankas pieņemtā lēmuma pārsūdzēšanu un pieņemto nolēmumu.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tikai viens pārejas noteikums, ierosinām atbilstoši precizēt šīs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“Pārejas noteikums”.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5.4. sadaļas 1. tabulu, norādot visus Likumprojektā norādītos ES tiesību aktu pantus, kas ar Likumprojektu tiek pārņemti vai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ir precizēta, ņemot vērā pantu numerācijas izmaiņas un viena jauna panta pievienošanu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normas ir tieši piemērojamas, tad ar Likumprojektu citi attiecīgās Regulas panti netiek pārņemti vai ieviesti.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anotācijā ir norādīta tikai daļa no ES tiesību aktu pantiem, kas ar Likumprojektu tiek pārņemti vai ieviesti, tādēļ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5.4. sadaļas 1. tabulu, norādot </w:t>
            </w:r>
            <w:r w:rsidR="00000000" w:rsidRPr="00000000" w:rsidDel="00000000">
              <w:rPr>
                <w:b w:val="1"/>
                <w:u w:val="single"/>
                <w:rtl w:val="0"/>
              </w:rPr>
              <w:t xml:space="preserve">visus</w:t>
            </w:r>
            <w:r w:rsidR="00000000" w:rsidRPr="00000000" w:rsidDel="00000000">
              <w:rPr>
                <w:rtl w:val="0"/>
              </w:rPr>
              <w:t xml:space="preserve"> Likumprojektā norādītos ES tiesību aktu pantus.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ir precizēta un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“Likumprojekta regulējums maksātnespējas attālinātības (angļu val. - insolvency remotness) nodrošināšanai:” 5. un 7. punktā lietoto terminoloģiju “maksātnespējas administrators”, tā kā Maksātnespējas likuma 9. pantā definētais nosaukums ir “maksātnespējas procesa administrators”.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anotācijā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apakšpunktā norādīto informāciju, ņemot vērā, ka likumprojekta izpildē būs iesaistīta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norādītā informācija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apakšpunktā sniegto informāciju par saistītajiem tiesību aktu projektiem, ņemot vērā to, ka atbilstoši anotācijas 1. sadaļā sniegtajai informācijai saistītie grozījumi būs nepieciešami arī Kredītu reģistra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iekļauts anotācijas 4.2. apakšpunktā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ietvert skaidrojumu arī par projekta 26. panta otrajā daļā ietverto administratīvo pasākumu. Proti, projekta anotācija papildināma ar skaidrojumu, kāpēc šis pasākums ir administratīvais pasākums (nevis sankcija jeb sods) un kas noteic (ierobežo) šā pasākuma pagaidu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 ar attiecīgu skaidrojumu netiek papildināta, bet, ja tas būs nepieciešams, attiecīgais skaidrojums tiks sniegts Saeimas Budžeta un finanšu (nodokļu)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anotācijas 1.3. un 5.1. apakšpunktā abreviatūru "VSP" ar abreviatūru "VPS" atbilstoši anotācijas 1.3. apakšpunktā atrunātajam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Acīmredzama pārrakstīšanās kļūda - jābūt "VPS", taču tas nemaina būtību "vienkārša, pārredzama un standartizēta vērtspapīrošana" vai "vienkārša, standartizēta un pārredzama vērtspapīrošana"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"pārdevējs" likumprojektā netiek lietots, ierosinām precizēt likumprojekta anotācijas 1.3. un 5.1. apakšpunktā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"pārdevējs" tiek lietots Regulā Nr. 2017/2402 un likumprojekta anotācijā no kopējā konteksta ir nepārprotami saprotams, kura persona ir pārdevējs.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22-TA-439</w:t>
    </w:r>
    <w:r>
      <w:br/>
    </w:r>
    <w:r w:rsidR="00000000" w:rsidRPr="00000000" w:rsidDel="00000000">
      <w:rPr>
        <w:rtl w:val="0"/>
      </w:rPr>
      <w:t xml:space="preserve">29.12.2022. 18.12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22-TA-439</w:t>
    </w:r>
    <w:r>
      <w:br/>
    </w:r>
    <w:r w:rsidR="00000000" w:rsidRPr="00000000" w:rsidDel="00000000">
      <w:rPr>
        <w:rtl w:val="0"/>
      </w:rPr>
      <w:t xml:space="preserve">29.12.2022. 18.12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Izziņa_22-TA-439.docx</dc:title>
</cp:coreProperties>
</file>

<file path=docProps/custom.xml><?xml version="1.0" encoding="utf-8"?>
<Properties xmlns="http://schemas.openxmlformats.org/officeDocument/2006/custom-properties" xmlns:vt="http://schemas.openxmlformats.org/officeDocument/2006/docPropsVTypes"/>
</file>