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956D88" w14:textId="77777777" w:rsidR="000A4701" w:rsidRDefault="000A4701" w:rsidP="000A4701">
      <w:pPr>
        <w:rPr>
          <w:rFonts w:asciiTheme="minorHAnsi" w:hAnsiTheme="minorHAnsi" w:cstheme="minorBidi"/>
        </w:rPr>
      </w:pPr>
    </w:p>
    <w:p w14:paraId="6297DEF5" w14:textId="77777777" w:rsidR="000A4701" w:rsidRDefault="000A4701" w:rsidP="000A4701">
      <w:pPr>
        <w:rPr>
          <w:rFonts w:eastAsia="Times New Roman"/>
          <w:lang w:val="en-US" w:eastAsia="lv-LV"/>
        </w:rPr>
      </w:pPr>
      <w:r>
        <w:rPr>
          <w:rFonts w:eastAsia="Times New Roman"/>
          <w:b/>
          <w:bCs/>
          <w:lang w:val="en-US" w:eastAsia="lv-LV"/>
        </w:rPr>
        <w:t>From:</w:t>
      </w:r>
      <w:r>
        <w:rPr>
          <w:rFonts w:eastAsia="Times New Roman"/>
          <w:lang w:val="en-US" w:eastAsia="lv-LV"/>
        </w:rPr>
        <w:t xml:space="preserve"> Ieva Deksne &lt;Ieva.Deksne@tm.gov.lv&gt;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Thursday, November 11, 2021 9:52 AM</w:t>
      </w:r>
      <w:r>
        <w:rPr>
          <w:rFonts w:eastAsia="Times New Roman"/>
          <w:lang w:val="en-US" w:eastAsia="lv-LV"/>
        </w:rPr>
        <w:br/>
      </w:r>
      <w:r>
        <w:rPr>
          <w:rFonts w:eastAsia="Times New Roman"/>
          <w:b/>
          <w:bCs/>
          <w:lang w:val="en-US" w:eastAsia="lv-LV"/>
        </w:rPr>
        <w:t>To:</w:t>
      </w:r>
      <w:r>
        <w:rPr>
          <w:rFonts w:eastAsia="Times New Roman"/>
          <w:lang w:val="en-US" w:eastAsia="lv-LV"/>
        </w:rPr>
        <w:t xml:space="preserve"> Pasts &lt;Pasts@em.gov.lv&gt;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Arta.Šmukste@em.gov.lv; Juta Ķupe &lt;Juta.Kupe@tm.gov.lv&gt;; Sandis Vilcāns &lt;Sandis.Vilcans@tm.gov.lv&gt;; Zanda </w:t>
      </w:r>
      <w:proofErr w:type="spellStart"/>
      <w:r>
        <w:rPr>
          <w:rFonts w:eastAsia="Times New Roman"/>
          <w:lang w:val="en-US" w:eastAsia="lv-LV"/>
        </w:rPr>
        <w:t>Stara</w:t>
      </w:r>
      <w:proofErr w:type="spellEnd"/>
      <w:r>
        <w:rPr>
          <w:rFonts w:eastAsia="Times New Roman"/>
          <w:lang w:val="en-US" w:eastAsia="lv-LV"/>
        </w:rPr>
        <w:t xml:space="preserve"> &lt;Zanda.Stara@TM.GOV.LV&gt;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w:t>
      </w:r>
      <w:proofErr w:type="spellStart"/>
      <w:r>
        <w:rPr>
          <w:rFonts w:eastAsia="Times New Roman"/>
          <w:lang w:val="en-US" w:eastAsia="lv-LV"/>
        </w:rPr>
        <w:t>Elektroniskā</w:t>
      </w:r>
      <w:proofErr w:type="spellEnd"/>
      <w:r>
        <w:rPr>
          <w:rFonts w:eastAsia="Times New Roman"/>
          <w:lang w:val="en-US" w:eastAsia="lv-LV"/>
        </w:rPr>
        <w:t xml:space="preserve"> 5 </w:t>
      </w:r>
      <w:proofErr w:type="spellStart"/>
      <w:r>
        <w:rPr>
          <w:rFonts w:eastAsia="Times New Roman"/>
          <w:lang w:val="en-US" w:eastAsia="lv-LV"/>
        </w:rPr>
        <w:t>dienu</w:t>
      </w:r>
      <w:proofErr w:type="spellEnd"/>
      <w:r>
        <w:rPr>
          <w:rFonts w:eastAsia="Times New Roman"/>
          <w:lang w:val="en-US" w:eastAsia="lv-LV"/>
        </w:rPr>
        <w:t xml:space="preserve"> </w:t>
      </w:r>
      <w:proofErr w:type="spellStart"/>
      <w:r>
        <w:rPr>
          <w:rFonts w:eastAsia="Times New Roman"/>
          <w:lang w:val="en-US" w:eastAsia="lv-LV"/>
        </w:rPr>
        <w:t>skaņošana</w:t>
      </w:r>
      <w:proofErr w:type="spellEnd"/>
      <w:r>
        <w:rPr>
          <w:rFonts w:eastAsia="Times New Roman"/>
          <w:lang w:val="en-US" w:eastAsia="lv-LV"/>
        </w:rPr>
        <w:t xml:space="preserve"> VSS-639 (</w:t>
      </w:r>
      <w:proofErr w:type="spellStart"/>
      <w:r>
        <w:rPr>
          <w:rFonts w:eastAsia="Times New Roman"/>
          <w:lang w:val="en-US" w:eastAsia="lv-LV"/>
        </w:rPr>
        <w:t>likumprojekts</w:t>
      </w:r>
      <w:proofErr w:type="spellEnd"/>
      <w:r>
        <w:rPr>
          <w:rFonts w:eastAsia="Times New Roman"/>
          <w:lang w:val="en-US" w:eastAsia="lv-LV"/>
        </w:rPr>
        <w:t xml:space="preserve"> “</w:t>
      </w:r>
      <w:proofErr w:type="spellStart"/>
      <w:r>
        <w:rPr>
          <w:rFonts w:eastAsia="Times New Roman"/>
          <w:lang w:val="en-US" w:eastAsia="lv-LV"/>
        </w:rPr>
        <w:t>Grozījumi</w:t>
      </w:r>
      <w:proofErr w:type="spellEnd"/>
      <w:r>
        <w:rPr>
          <w:rFonts w:eastAsia="Times New Roman"/>
          <w:lang w:val="en-US" w:eastAsia="lv-LV"/>
        </w:rPr>
        <w:t xml:space="preserve"> </w:t>
      </w:r>
      <w:proofErr w:type="spellStart"/>
      <w:r>
        <w:rPr>
          <w:rFonts w:eastAsia="Times New Roman"/>
          <w:lang w:val="en-US" w:eastAsia="lv-LV"/>
        </w:rPr>
        <w:t>Negodīgas</w:t>
      </w:r>
      <w:proofErr w:type="spellEnd"/>
      <w:r>
        <w:rPr>
          <w:rFonts w:eastAsia="Times New Roman"/>
          <w:lang w:val="en-US" w:eastAsia="lv-LV"/>
        </w:rPr>
        <w:t xml:space="preserve"> </w:t>
      </w:r>
      <w:proofErr w:type="spellStart"/>
      <w:r>
        <w:rPr>
          <w:rFonts w:eastAsia="Times New Roman"/>
          <w:lang w:val="en-US" w:eastAsia="lv-LV"/>
        </w:rPr>
        <w:t>komercprakses</w:t>
      </w:r>
      <w:proofErr w:type="spellEnd"/>
      <w:r>
        <w:rPr>
          <w:rFonts w:eastAsia="Times New Roman"/>
          <w:lang w:val="en-US" w:eastAsia="lv-LV"/>
        </w:rPr>
        <w:t xml:space="preserve"> </w:t>
      </w:r>
      <w:proofErr w:type="spellStart"/>
      <w:r>
        <w:rPr>
          <w:rFonts w:eastAsia="Times New Roman"/>
          <w:lang w:val="en-US" w:eastAsia="lv-LV"/>
        </w:rPr>
        <w:t>aizlieguma</w:t>
      </w:r>
      <w:proofErr w:type="spellEnd"/>
      <w:r>
        <w:rPr>
          <w:rFonts w:eastAsia="Times New Roman"/>
          <w:lang w:val="en-US" w:eastAsia="lv-LV"/>
        </w:rPr>
        <w:t xml:space="preserve"> </w:t>
      </w:r>
      <w:proofErr w:type="spellStart"/>
      <w:r>
        <w:rPr>
          <w:rFonts w:eastAsia="Times New Roman"/>
          <w:lang w:val="en-US" w:eastAsia="lv-LV"/>
        </w:rPr>
        <w:t>likumā</w:t>
      </w:r>
      <w:proofErr w:type="spellEnd"/>
      <w:r>
        <w:rPr>
          <w:rFonts w:eastAsia="Times New Roman"/>
          <w:lang w:val="en-US" w:eastAsia="lv-LV"/>
        </w:rPr>
        <w:t>”)</w:t>
      </w:r>
    </w:p>
    <w:p w14:paraId="77515410" w14:textId="77777777" w:rsidR="000A4701" w:rsidRDefault="000A4701" w:rsidP="000A4701"/>
    <w:p w14:paraId="0612DBB5" w14:textId="77777777" w:rsidR="000A4701" w:rsidRDefault="000A4701" w:rsidP="000A4701">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1C8365D4" w14:textId="77777777" w:rsidR="000A4701" w:rsidRDefault="000A4701" w:rsidP="000A4701">
      <w:pPr>
        <w:rPr>
          <w:rFonts w:ascii="Times New Roman" w:hAnsi="Times New Roman" w:cs="Times New Roman"/>
          <w:sz w:val="24"/>
          <w:szCs w:val="24"/>
        </w:rPr>
      </w:pPr>
      <w:r>
        <w:rPr>
          <w:rFonts w:ascii="Times New Roman" w:hAnsi="Times New Roman" w:cs="Times New Roman"/>
          <w:sz w:val="24"/>
          <w:szCs w:val="24"/>
        </w:rPr>
        <w:t>Labdien!</w:t>
      </w:r>
    </w:p>
    <w:p w14:paraId="77E63CE5" w14:textId="77777777" w:rsidR="000A4701" w:rsidRDefault="000A4701" w:rsidP="000A4701">
      <w:pPr>
        <w:rPr>
          <w:rFonts w:ascii="Times New Roman" w:hAnsi="Times New Roman" w:cs="Times New Roman"/>
          <w:sz w:val="24"/>
          <w:szCs w:val="24"/>
        </w:rPr>
      </w:pPr>
    </w:p>
    <w:p w14:paraId="56BB16F3" w14:textId="77777777" w:rsidR="000A4701" w:rsidRDefault="000A4701" w:rsidP="000A4701">
      <w:pPr>
        <w:rPr>
          <w:rFonts w:ascii="Times New Roman" w:hAnsi="Times New Roman" w:cs="Times New Roman"/>
          <w:sz w:val="24"/>
          <w:szCs w:val="24"/>
        </w:rPr>
      </w:pPr>
      <w:r>
        <w:rPr>
          <w:rFonts w:ascii="Times New Roman" w:hAnsi="Times New Roman" w:cs="Times New Roman"/>
          <w:sz w:val="24"/>
          <w:szCs w:val="24"/>
        </w:rPr>
        <w:t xml:space="preserve">Tieslietu ministrija ir izskatījusi Ekonomikas ministrijas precizēto likumprojektu “Grozījumi Negodīgas </w:t>
      </w:r>
      <w:proofErr w:type="spellStart"/>
      <w:r>
        <w:rPr>
          <w:rFonts w:ascii="Times New Roman" w:hAnsi="Times New Roman" w:cs="Times New Roman"/>
          <w:sz w:val="24"/>
          <w:szCs w:val="24"/>
        </w:rPr>
        <w:t>komercprakses</w:t>
      </w:r>
      <w:proofErr w:type="spellEnd"/>
      <w:r>
        <w:rPr>
          <w:rFonts w:ascii="Times New Roman" w:hAnsi="Times New Roman" w:cs="Times New Roman"/>
          <w:sz w:val="24"/>
          <w:szCs w:val="24"/>
        </w:rPr>
        <w:t xml:space="preserve"> aizlieguma likumā” (VSS-639) (turpmāk – projekts), anotāciju un izziņu par izteiktajiem iebildumiem, un informē, ka atbalsta tā tālāko virzību, izsakot šādus priekšlikumus:</w:t>
      </w:r>
    </w:p>
    <w:p w14:paraId="626C488F" w14:textId="77777777" w:rsidR="000A4701" w:rsidRDefault="000A4701" w:rsidP="000A4701">
      <w:pPr>
        <w:rPr>
          <w:rFonts w:ascii="Times New Roman" w:hAnsi="Times New Roman" w:cs="Times New Roman"/>
          <w:sz w:val="24"/>
          <w:szCs w:val="24"/>
        </w:rPr>
      </w:pPr>
    </w:p>
    <w:p w14:paraId="6F287F72" w14:textId="77777777" w:rsidR="000A4701" w:rsidRDefault="000A4701" w:rsidP="000A4701">
      <w:pPr>
        <w:ind w:firstLine="720"/>
        <w:jc w:val="both"/>
        <w:rPr>
          <w:rFonts w:ascii="Times New Roman" w:hAnsi="Times New Roman" w:cs="Times New Roman"/>
          <w:sz w:val="24"/>
          <w:szCs w:val="24"/>
        </w:rPr>
      </w:pPr>
      <w:r>
        <w:rPr>
          <w:rFonts w:ascii="Times New Roman" w:hAnsi="Times New Roman" w:cs="Times New Roman"/>
          <w:sz w:val="24"/>
          <w:szCs w:val="24"/>
        </w:rPr>
        <w:t xml:space="preserve">1. Aicinām izvērtēt lietderību un nepieciešamību projektā ietvertajām normām paredzēt trīs dažādus spēkā stāšanās laikus, proti, no šobrīd projektā noteiktā izriet, ka projekta 1. pants un tādējādi arī projekts stājas spēkā vispārējā kārtībā, projekta 2. pants -  2022. gada 1. janvārī, savukārt 3.-10. pants stājas spēkā 2022. gada 28. maijā. Vienlaikus Tieslietu ministrija norāda, ka saskaņā ar Ministru kabineta 2009. gada 3. februāra noteikumiem Nr.108 “Normatīvo aktu projektu sagatavošanas noteikumi” un to piemērošanas praksi atsevišķu likuma vienību citādu spēkā stāšanās kārtību nekā visam likumam nosaka pārejas noteikumos. Nosakot likuma vienībai citādu spēkā stāšanās kārtību, jāievēro, ka nav ieteicams šādu izņēmuma kārtību noteikt lielam daudzumam vienību. Savukārt aiz likumprojekta informatīvās atsauces uz Eiropas Savienības direktīvām raksta noteikumus nevis par atsevišķu vienību spēkā stāšanās kārtību, bet gan par visa likuma spēkā stāšanās laiku. Ja tomēr Ekonomikas ministrijas ieskatā ir būtiski noteikt atsevišķām projekta vienībām atšķirīgu spēkā stāšanās kārtību, lūdzam tam ietvert pamatojumu anotācijā. </w:t>
      </w:r>
    </w:p>
    <w:p w14:paraId="7FAE2F06" w14:textId="77777777" w:rsidR="000A4701" w:rsidRDefault="000A4701" w:rsidP="000A4701">
      <w:pPr>
        <w:ind w:firstLine="720"/>
        <w:jc w:val="both"/>
        <w:rPr>
          <w:rFonts w:ascii="Times New Roman" w:hAnsi="Times New Roman" w:cs="Times New Roman"/>
          <w:sz w:val="24"/>
          <w:szCs w:val="24"/>
        </w:rPr>
      </w:pPr>
    </w:p>
    <w:p w14:paraId="584EE7B3" w14:textId="77777777" w:rsidR="000A4701" w:rsidRDefault="000A4701" w:rsidP="000A4701">
      <w:pPr>
        <w:ind w:firstLine="720"/>
        <w:jc w:val="both"/>
        <w:rPr>
          <w:rFonts w:ascii="Times New Roman" w:hAnsi="Times New Roman" w:cs="Times New Roman"/>
          <w:sz w:val="24"/>
          <w:szCs w:val="24"/>
        </w:rPr>
      </w:pPr>
      <w:r>
        <w:rPr>
          <w:rFonts w:ascii="Times New Roman" w:hAnsi="Times New Roman" w:cs="Times New Roman"/>
          <w:sz w:val="24"/>
          <w:szCs w:val="24"/>
        </w:rPr>
        <w:t>2. Projekta anotācijā norādīts: "Kā galvenajiem parametriem sodu noteikšanā būtu jābūt samērīgumam un proporcionalitātei vērtējot pašu pārkāpumu un tā sekas, nevis pārkāpēja un cietušo personu nacionālo piederību/ atrašanās valsti." Nav nepieciešams lietot vārdkopu "samērīgums un proporcionalitāte", pietiek ar vārdu "samērīgums".</w:t>
      </w:r>
    </w:p>
    <w:p w14:paraId="661B94DE" w14:textId="77777777" w:rsidR="000A4701" w:rsidRDefault="000A4701" w:rsidP="000A4701">
      <w:pPr>
        <w:ind w:firstLine="720"/>
        <w:jc w:val="both"/>
        <w:rPr>
          <w:rFonts w:ascii="Times New Roman" w:hAnsi="Times New Roman" w:cs="Times New Roman"/>
          <w:sz w:val="24"/>
          <w:szCs w:val="24"/>
        </w:rPr>
      </w:pPr>
    </w:p>
    <w:p w14:paraId="4B2AF67E" w14:textId="77777777" w:rsidR="000A4701" w:rsidRDefault="000A4701" w:rsidP="000A4701">
      <w:pPr>
        <w:ind w:firstLine="720"/>
        <w:jc w:val="both"/>
        <w:rPr>
          <w:rFonts w:ascii="Times New Roman" w:hAnsi="Times New Roman" w:cs="Times New Roman"/>
          <w:sz w:val="24"/>
          <w:szCs w:val="24"/>
        </w:rPr>
      </w:pPr>
      <w:r>
        <w:rPr>
          <w:rFonts w:ascii="Times New Roman" w:hAnsi="Times New Roman" w:cs="Times New Roman"/>
          <w:sz w:val="24"/>
          <w:szCs w:val="24"/>
        </w:rPr>
        <w:t xml:space="preserve">3. Projekta anotācijā norādīts, piemēram: "Tomēr, ņemot vērā naudas soda efektivitātes prasības, tai skaitā, </w:t>
      </w:r>
      <w:proofErr w:type="spellStart"/>
      <w:r>
        <w:rPr>
          <w:rFonts w:ascii="Times New Roman" w:hAnsi="Times New Roman" w:cs="Times New Roman"/>
          <w:sz w:val="24"/>
          <w:szCs w:val="24"/>
        </w:rPr>
        <w:t>komercprakses</w:t>
      </w:r>
      <w:proofErr w:type="spellEnd"/>
      <w:r>
        <w:rPr>
          <w:rFonts w:ascii="Times New Roman" w:hAnsi="Times New Roman" w:cs="Times New Roman"/>
          <w:sz w:val="24"/>
          <w:szCs w:val="24"/>
        </w:rPr>
        <w:t xml:space="preserve"> pārkāpuma </w:t>
      </w:r>
      <w:proofErr w:type="spellStart"/>
      <w:r>
        <w:rPr>
          <w:rFonts w:ascii="Times New Roman" w:hAnsi="Times New Roman" w:cs="Times New Roman"/>
          <w:sz w:val="24"/>
          <w:szCs w:val="24"/>
        </w:rPr>
        <w:t>prevencijas</w:t>
      </w:r>
      <w:proofErr w:type="spellEnd"/>
      <w:r>
        <w:rPr>
          <w:rFonts w:ascii="Times New Roman" w:hAnsi="Times New Roman" w:cs="Times New Roman"/>
          <w:sz w:val="24"/>
          <w:szCs w:val="24"/>
        </w:rPr>
        <w:t xml:space="preserve"> nozīmi un pārkāpēja sodīšanu par izdarīto pārkāpumu, ierobežojot viņam piekļuvi ieņēmumiem, kuri faktiski gūti negodīgas </w:t>
      </w:r>
      <w:proofErr w:type="spellStart"/>
      <w:r>
        <w:rPr>
          <w:rFonts w:ascii="Times New Roman" w:hAnsi="Times New Roman" w:cs="Times New Roman"/>
          <w:sz w:val="24"/>
          <w:szCs w:val="24"/>
        </w:rPr>
        <w:t>komercprakses</w:t>
      </w:r>
      <w:proofErr w:type="spellEnd"/>
      <w:r>
        <w:rPr>
          <w:rFonts w:ascii="Times New Roman" w:hAnsi="Times New Roman" w:cs="Times New Roman"/>
          <w:sz w:val="24"/>
          <w:szCs w:val="24"/>
        </w:rPr>
        <w:t xml:space="preserve"> īstenošanas laikā, uzraudzības iestāde, administratīvajā aktā pamatojot naudas soda efektivitātes apsvērumus un samērīgumu, ir tiesīga noteikt naudas sodu atbilstoši 15.</w:t>
      </w:r>
      <w:r>
        <w:rPr>
          <w:rFonts w:ascii="Times New Roman" w:hAnsi="Times New Roman" w:cs="Times New Roman"/>
          <w:sz w:val="24"/>
          <w:szCs w:val="24"/>
          <w:vertAlign w:val="superscript"/>
        </w:rPr>
        <w:t>2</w:t>
      </w:r>
      <w:r>
        <w:rPr>
          <w:rFonts w:ascii="Times New Roman" w:hAnsi="Times New Roman" w:cs="Times New Roman"/>
          <w:sz w:val="24"/>
          <w:szCs w:val="24"/>
        </w:rPr>
        <w:t> panta  pirmās daļas 2) vai 3) punktam.  Var rasties situācijas, kad šī panta pirmās daļas 1) punktā norādītie ieņēmumi nav izmantojami, lai piemērotais naudas sods atbilstu izdarītajam pārkāpumam."</w:t>
      </w:r>
    </w:p>
    <w:p w14:paraId="4A3F248D" w14:textId="77777777" w:rsidR="000A4701" w:rsidRDefault="000A4701" w:rsidP="000A4701">
      <w:pPr>
        <w:ind w:firstLine="720"/>
        <w:jc w:val="both"/>
        <w:rPr>
          <w:rFonts w:ascii="Times New Roman" w:hAnsi="Times New Roman" w:cs="Times New Roman"/>
          <w:sz w:val="24"/>
          <w:szCs w:val="24"/>
        </w:rPr>
      </w:pPr>
      <w:r>
        <w:rPr>
          <w:rFonts w:ascii="Times New Roman" w:hAnsi="Times New Roman" w:cs="Times New Roman"/>
          <w:sz w:val="24"/>
          <w:szCs w:val="24"/>
        </w:rPr>
        <w:t>Aicinām pārskatīt projekta anotāciju un precizēt norādes uz normatīvā akta vienībām (piemēram, "15.</w:t>
      </w:r>
      <w:r>
        <w:rPr>
          <w:rFonts w:ascii="Times New Roman" w:hAnsi="Times New Roman" w:cs="Times New Roman"/>
          <w:sz w:val="24"/>
          <w:szCs w:val="24"/>
          <w:vertAlign w:val="superscript"/>
        </w:rPr>
        <w:t>2</w:t>
      </w:r>
      <w:r>
        <w:rPr>
          <w:rFonts w:ascii="Times New Roman" w:hAnsi="Times New Roman" w:cs="Times New Roman"/>
          <w:sz w:val="24"/>
          <w:szCs w:val="24"/>
        </w:rPr>
        <w:t> panta pirmās daļas 2. vai 3. punkts").</w:t>
      </w:r>
    </w:p>
    <w:p w14:paraId="736A1AD3" w14:textId="77777777" w:rsidR="000A4701" w:rsidRDefault="000A4701" w:rsidP="000A4701">
      <w:pPr>
        <w:ind w:firstLine="720"/>
        <w:jc w:val="both"/>
        <w:rPr>
          <w:rFonts w:ascii="Times New Roman" w:hAnsi="Times New Roman" w:cs="Times New Roman"/>
          <w:sz w:val="24"/>
          <w:szCs w:val="24"/>
        </w:rPr>
      </w:pPr>
    </w:p>
    <w:p w14:paraId="4893F62E" w14:textId="77777777" w:rsidR="000A4701" w:rsidRDefault="000A4701" w:rsidP="000A4701">
      <w:pPr>
        <w:ind w:firstLine="720"/>
        <w:jc w:val="both"/>
        <w:rPr>
          <w:rFonts w:ascii="Times New Roman" w:hAnsi="Times New Roman" w:cs="Times New Roman"/>
          <w:sz w:val="24"/>
          <w:szCs w:val="24"/>
        </w:rPr>
      </w:pPr>
      <w:r>
        <w:rPr>
          <w:rFonts w:ascii="Times New Roman" w:hAnsi="Times New Roman" w:cs="Times New Roman"/>
          <w:sz w:val="24"/>
          <w:szCs w:val="24"/>
        </w:rPr>
        <w:t>4. Aicinām projekta anotāciju papildināt ar šādu norādi (piemēram, projekta anotācijas 14. lpp. pēc pirmās rindkopas): "Jebkurā gadījumā ir vērtējams soda samērīgums, tostarp ņemot vērā personas mantisko stāvokli. Soda apmērs nedrīkst radīt nepanesamu finansiālu slogu personai."</w:t>
      </w:r>
    </w:p>
    <w:p w14:paraId="6F582158" w14:textId="77777777" w:rsidR="000A4701" w:rsidRDefault="000A4701" w:rsidP="000A4701">
      <w:pPr>
        <w:ind w:firstLine="720"/>
        <w:jc w:val="both"/>
        <w:rPr>
          <w:rFonts w:ascii="Times New Roman" w:hAnsi="Times New Roman" w:cs="Times New Roman"/>
          <w:sz w:val="24"/>
          <w:szCs w:val="24"/>
        </w:rPr>
      </w:pPr>
    </w:p>
    <w:p w14:paraId="2304169F" w14:textId="77777777" w:rsidR="000A4701" w:rsidRDefault="000A4701" w:rsidP="000A4701">
      <w:pPr>
        <w:ind w:firstLine="720"/>
        <w:jc w:val="both"/>
        <w:rPr>
          <w:rFonts w:ascii="Times New Roman" w:hAnsi="Times New Roman" w:cs="Times New Roman"/>
          <w:sz w:val="24"/>
          <w:szCs w:val="24"/>
        </w:rPr>
      </w:pPr>
      <w:r>
        <w:rPr>
          <w:rFonts w:ascii="Times New Roman" w:hAnsi="Times New Roman" w:cs="Times New Roman"/>
          <w:sz w:val="24"/>
          <w:szCs w:val="24"/>
        </w:rPr>
        <w:t>5. Aicinām novērst spēkā esošā likuma nepilnību un papildināt projektu ar grozījumiem, kas paredzētu konkrētus pārkāpumu noilguma termiņus. Lai arī šobrīd tiesiskās drošības princips, neskatoties uz likuma regulējumu, ierobežo iestādes tiesības piemērot sankcijas, tomēr tiesiskās noteiktības interesēs ir svarīgi noteikt konkrētu sodoša rakstura administratīvo sankciju piemērošanas noilguma termiņu (</w:t>
      </w:r>
      <w:proofErr w:type="spellStart"/>
      <w:r>
        <w:rPr>
          <w:rFonts w:ascii="Times New Roman" w:hAnsi="Times New Roman" w:cs="Times New Roman"/>
          <w:i/>
          <w:iCs/>
          <w:sz w:val="24"/>
          <w:szCs w:val="24"/>
        </w:rPr>
        <w:t>Danovskis</w:t>
      </w:r>
      <w:proofErr w:type="spellEnd"/>
      <w:r>
        <w:rPr>
          <w:rFonts w:ascii="Times New Roman" w:hAnsi="Times New Roman" w:cs="Times New Roman"/>
          <w:i/>
          <w:iCs/>
          <w:sz w:val="24"/>
          <w:szCs w:val="24"/>
        </w:rPr>
        <w:t xml:space="preserve"> E. Sodu tiesību principu nozīme administratīvajās tiesībās. </w:t>
      </w:r>
      <w:proofErr w:type="spellStart"/>
      <w:r>
        <w:rPr>
          <w:rFonts w:ascii="Times New Roman" w:hAnsi="Times New Roman" w:cs="Times New Roman"/>
          <w:i/>
          <w:iCs/>
          <w:sz w:val="24"/>
          <w:szCs w:val="24"/>
        </w:rPr>
        <w:t>Grām</w:t>
      </w:r>
      <w:proofErr w:type="spellEnd"/>
      <w:r>
        <w:rPr>
          <w:rFonts w:ascii="Times New Roman" w:hAnsi="Times New Roman" w:cs="Times New Roman"/>
          <w:i/>
          <w:iCs/>
          <w:sz w:val="24"/>
          <w:szCs w:val="24"/>
        </w:rPr>
        <w:t>.: Autoru kolektīvs. Juridisko personu publiski tiesiskā atbildība. Rīga: LU Akadēmiskais apgāds, 2018, 139. lpp.</w:t>
      </w:r>
      <w:r>
        <w:rPr>
          <w:rFonts w:ascii="Times New Roman" w:hAnsi="Times New Roman" w:cs="Times New Roman"/>
          <w:sz w:val="24"/>
          <w:szCs w:val="24"/>
        </w:rPr>
        <w:t>).</w:t>
      </w:r>
    </w:p>
    <w:p w14:paraId="6EE489BB" w14:textId="77777777" w:rsidR="000A4701" w:rsidRDefault="000A4701" w:rsidP="000A4701">
      <w:pPr>
        <w:jc w:val="both"/>
        <w:rPr>
          <w:rFonts w:ascii="Times New Roman" w:hAnsi="Times New Roman" w:cs="Times New Roman"/>
          <w:sz w:val="24"/>
          <w:szCs w:val="24"/>
        </w:rPr>
      </w:pPr>
    </w:p>
    <w:p w14:paraId="5084BF12" w14:textId="77777777" w:rsidR="000A4701" w:rsidRDefault="000A4701" w:rsidP="000A4701">
      <w:pPr>
        <w:rPr>
          <w:rFonts w:ascii="Times New Roman" w:hAnsi="Times New Roman" w:cs="Times New Roman"/>
          <w:sz w:val="24"/>
          <w:szCs w:val="24"/>
        </w:rPr>
      </w:pPr>
    </w:p>
    <w:p w14:paraId="0FA3045C" w14:textId="77777777" w:rsidR="000A4701" w:rsidRDefault="000A4701" w:rsidP="000A4701">
      <w:pPr>
        <w:rPr>
          <w:rFonts w:ascii="Times New Roman" w:hAnsi="Times New Roman" w:cs="Times New Roman"/>
          <w:sz w:val="24"/>
          <w:szCs w:val="24"/>
          <w:lang w:eastAsia="lv-LV"/>
        </w:rPr>
      </w:pPr>
      <w:r>
        <w:rPr>
          <w:rFonts w:ascii="Times New Roman" w:hAnsi="Times New Roman" w:cs="Times New Roman"/>
          <w:sz w:val="24"/>
          <w:szCs w:val="24"/>
          <w:lang w:eastAsia="lv-LV"/>
        </w:rPr>
        <w:t>Ar cieņu</w:t>
      </w:r>
    </w:p>
    <w:p w14:paraId="7BEB09B2" w14:textId="77777777" w:rsidR="000A4701" w:rsidRDefault="000A4701" w:rsidP="000A4701">
      <w:pPr>
        <w:rPr>
          <w:rFonts w:ascii="Times New Roman" w:hAnsi="Times New Roman" w:cs="Times New Roman"/>
          <w:sz w:val="24"/>
          <w:szCs w:val="24"/>
          <w:lang w:eastAsia="lv-LV"/>
        </w:rPr>
      </w:pPr>
    </w:p>
    <w:p w14:paraId="02DFEE6C" w14:textId="77777777" w:rsidR="000A4701" w:rsidRDefault="000A4701" w:rsidP="000A4701">
      <w:pPr>
        <w:rPr>
          <w:rFonts w:ascii="Times New Roman" w:hAnsi="Times New Roman" w:cs="Times New Roman"/>
          <w:sz w:val="24"/>
          <w:szCs w:val="24"/>
          <w:lang w:eastAsia="lv-LV"/>
        </w:rPr>
      </w:pPr>
      <w:r>
        <w:rPr>
          <w:rFonts w:ascii="Times New Roman" w:hAnsi="Times New Roman" w:cs="Times New Roman"/>
          <w:sz w:val="24"/>
          <w:szCs w:val="24"/>
          <w:lang w:eastAsia="lv-LV"/>
        </w:rPr>
        <w:t>Ieva Deksne</w:t>
      </w:r>
    </w:p>
    <w:p w14:paraId="63CA6958" w14:textId="77777777" w:rsidR="000A4701" w:rsidRDefault="000A4701" w:rsidP="000A4701">
      <w:pPr>
        <w:spacing w:before="120"/>
        <w:rPr>
          <w:rFonts w:ascii="Times New Roman" w:hAnsi="Times New Roman" w:cs="Times New Roman"/>
          <w:sz w:val="20"/>
          <w:szCs w:val="20"/>
          <w:lang w:eastAsia="lv-LV"/>
        </w:rPr>
      </w:pPr>
      <w:r>
        <w:rPr>
          <w:rFonts w:ascii="Times New Roman" w:hAnsi="Times New Roman" w:cs="Times New Roman"/>
          <w:sz w:val="20"/>
          <w:szCs w:val="20"/>
          <w:lang w:eastAsia="lv-LV"/>
        </w:rPr>
        <w:t>Tieslietu ministrijas</w:t>
      </w:r>
      <w:r>
        <w:rPr>
          <w:rFonts w:ascii="Times New Roman" w:hAnsi="Times New Roman" w:cs="Times New Roman"/>
          <w:sz w:val="20"/>
          <w:szCs w:val="20"/>
          <w:lang w:eastAsia="lv-LV"/>
        </w:rPr>
        <w:br/>
        <w:t xml:space="preserve">Civiltiesību departamenta </w:t>
      </w:r>
      <w:r>
        <w:rPr>
          <w:rFonts w:ascii="Times New Roman" w:hAnsi="Times New Roman" w:cs="Times New Roman"/>
          <w:sz w:val="20"/>
          <w:szCs w:val="20"/>
          <w:lang w:eastAsia="lv-LV"/>
        </w:rPr>
        <w:br/>
        <w:t>Vispārējo civiltiesību nodaļas juriste</w:t>
      </w:r>
      <w:r>
        <w:rPr>
          <w:rFonts w:ascii="Times New Roman" w:hAnsi="Times New Roman" w:cs="Times New Roman"/>
          <w:sz w:val="20"/>
          <w:szCs w:val="20"/>
          <w:lang w:eastAsia="lv-LV"/>
        </w:rPr>
        <w:br/>
        <w:t>Tālrunis: +371 67036856</w:t>
      </w:r>
      <w:r>
        <w:rPr>
          <w:rFonts w:ascii="Times New Roman" w:hAnsi="Times New Roman" w:cs="Times New Roman"/>
          <w:sz w:val="20"/>
          <w:szCs w:val="20"/>
          <w:lang w:eastAsia="lv-LV"/>
        </w:rPr>
        <w:br/>
        <w:t xml:space="preserve">E-pasts: </w:t>
      </w:r>
      <w:hyperlink r:id="rId4" w:history="1">
        <w:r>
          <w:rPr>
            <w:rStyle w:val="Hyperlink"/>
            <w:rFonts w:ascii="Times New Roman" w:hAnsi="Times New Roman" w:cs="Times New Roman"/>
            <w:color w:val="0000FF"/>
            <w:sz w:val="20"/>
            <w:szCs w:val="20"/>
            <w:lang w:eastAsia="lv-LV"/>
          </w:rPr>
          <w:t>Ieva.Deksne@tm.gov.lv</w:t>
        </w:r>
      </w:hyperlink>
      <w:r>
        <w:rPr>
          <w:rFonts w:ascii="Times New Roman" w:hAnsi="Times New Roman" w:cs="Times New Roman"/>
          <w:sz w:val="20"/>
          <w:szCs w:val="20"/>
          <w:lang w:eastAsia="lv-LV"/>
        </w:rPr>
        <w:t xml:space="preserve"> </w:t>
      </w:r>
    </w:p>
    <w:p w14:paraId="67383314" w14:textId="77777777" w:rsidR="000A4701" w:rsidRDefault="000A4701" w:rsidP="000A4701">
      <w:pPr>
        <w:rPr>
          <w:rFonts w:ascii="Times New Roman" w:hAnsi="Times New Roman" w:cs="Times New Roman"/>
          <w:sz w:val="20"/>
          <w:szCs w:val="20"/>
          <w:lang w:eastAsia="lv-LV"/>
        </w:rPr>
      </w:pPr>
      <w:hyperlink r:id="rId5" w:history="1">
        <w:r>
          <w:rPr>
            <w:rStyle w:val="Hyperlink"/>
            <w:rFonts w:ascii="Times New Roman" w:hAnsi="Times New Roman" w:cs="Times New Roman"/>
            <w:color w:val="0000FF"/>
            <w:sz w:val="20"/>
            <w:szCs w:val="20"/>
            <w:lang w:eastAsia="lv-LV"/>
          </w:rPr>
          <w:t>www.tm.gov.lv</w:t>
        </w:r>
      </w:hyperlink>
      <w:r>
        <w:rPr>
          <w:rFonts w:ascii="Times New Roman" w:hAnsi="Times New Roman" w:cs="Times New Roman"/>
          <w:sz w:val="20"/>
          <w:szCs w:val="20"/>
          <w:lang w:eastAsia="lv-LV"/>
        </w:rPr>
        <w:t xml:space="preserve">  </w:t>
      </w:r>
    </w:p>
    <w:p w14:paraId="720C7C80" w14:textId="77777777" w:rsidR="000A4701" w:rsidRDefault="000A4701" w:rsidP="000A4701">
      <w:pPr>
        <w:rPr>
          <w:rFonts w:ascii="Times New Roman" w:hAnsi="Times New Roman" w:cs="Times New Roman"/>
          <w:sz w:val="20"/>
          <w:szCs w:val="20"/>
          <w:lang w:eastAsia="lv-LV"/>
        </w:rPr>
      </w:pPr>
    </w:p>
    <w:p w14:paraId="64112C77" w14:textId="77777777" w:rsidR="000A4701" w:rsidRDefault="000A4701" w:rsidP="000A4701">
      <w:pPr>
        <w:rPr>
          <w:rFonts w:ascii="Times New Roman" w:hAnsi="Times New Roman" w:cs="Times New Roman"/>
          <w:color w:val="000000"/>
          <w:sz w:val="24"/>
          <w:szCs w:val="24"/>
        </w:rPr>
      </w:pPr>
      <w:r>
        <w:rPr>
          <w:rFonts w:ascii="Times New Roman" w:hAnsi="Times New Roman" w:cs="Times New Roman"/>
          <w:color w:val="000000"/>
          <w:sz w:val="24"/>
          <w:szCs w:val="24"/>
        </w:rPr>
        <w:t xml:space="preserve">Sandis Vilcāns </w:t>
      </w:r>
    </w:p>
    <w:p w14:paraId="01E3B5B7" w14:textId="77777777" w:rsidR="000A4701" w:rsidRDefault="000A4701" w:rsidP="000A4701">
      <w:pPr>
        <w:rPr>
          <w:rFonts w:ascii="Times New Roman" w:hAnsi="Times New Roman" w:cs="Times New Roman"/>
          <w:color w:val="000000"/>
          <w:sz w:val="20"/>
          <w:szCs w:val="20"/>
        </w:rPr>
      </w:pPr>
      <w:r>
        <w:rPr>
          <w:rFonts w:ascii="Times New Roman" w:hAnsi="Times New Roman" w:cs="Times New Roman"/>
          <w:color w:val="000000"/>
          <w:sz w:val="20"/>
          <w:szCs w:val="20"/>
        </w:rPr>
        <w:t>Valststiesību departamenta</w:t>
      </w:r>
    </w:p>
    <w:p w14:paraId="17BED0D9" w14:textId="77777777" w:rsidR="000A4701" w:rsidRDefault="000A4701" w:rsidP="000A4701">
      <w:pPr>
        <w:rPr>
          <w:rFonts w:ascii="Times New Roman" w:hAnsi="Times New Roman" w:cs="Times New Roman"/>
          <w:color w:val="000000"/>
          <w:sz w:val="20"/>
          <w:szCs w:val="20"/>
        </w:rPr>
      </w:pPr>
      <w:r>
        <w:rPr>
          <w:rFonts w:ascii="Times New Roman" w:hAnsi="Times New Roman" w:cs="Times New Roman"/>
          <w:color w:val="000000"/>
          <w:sz w:val="20"/>
          <w:szCs w:val="20"/>
        </w:rPr>
        <w:t>Administratīvās atbildības politikas nodaļas jurists</w:t>
      </w:r>
    </w:p>
    <w:p w14:paraId="0E5EE47D" w14:textId="77777777" w:rsidR="000A4701" w:rsidRDefault="000A4701" w:rsidP="000A4701">
      <w:pPr>
        <w:rPr>
          <w:rFonts w:ascii="Times New Roman" w:hAnsi="Times New Roman" w:cs="Times New Roman"/>
          <w:sz w:val="20"/>
          <w:szCs w:val="20"/>
          <w:lang w:eastAsia="lv-LV"/>
        </w:rPr>
      </w:pPr>
      <w:r>
        <w:rPr>
          <w:rFonts w:ascii="Times New Roman" w:hAnsi="Times New Roman" w:cs="Times New Roman"/>
          <w:color w:val="000000"/>
          <w:sz w:val="20"/>
          <w:szCs w:val="20"/>
        </w:rPr>
        <w:t xml:space="preserve">67036901, </w:t>
      </w:r>
      <w:hyperlink r:id="rId6" w:history="1">
        <w:r>
          <w:rPr>
            <w:rStyle w:val="Hyperlink"/>
            <w:rFonts w:ascii="Times New Roman" w:hAnsi="Times New Roman" w:cs="Times New Roman"/>
            <w:color w:val="0000FF"/>
            <w:sz w:val="20"/>
            <w:szCs w:val="20"/>
          </w:rPr>
          <w:t>Sandis.Vilcans@tm.gov.lv</w:t>
        </w:r>
      </w:hyperlink>
    </w:p>
    <w:p w14:paraId="697036BF" w14:textId="77777777" w:rsidR="000A4701" w:rsidRDefault="000A4701" w:rsidP="000A4701">
      <w:pPr>
        <w:rPr>
          <w:rFonts w:ascii="Times New Roman" w:hAnsi="Times New Roman" w:cs="Times New Roman"/>
          <w:sz w:val="20"/>
          <w:szCs w:val="20"/>
          <w:lang w:eastAsia="lv-LV"/>
        </w:rPr>
      </w:pPr>
    </w:p>
    <w:p w14:paraId="10F12517" w14:textId="77777777" w:rsidR="000A4701" w:rsidRDefault="000A4701" w:rsidP="000A4701">
      <w:r>
        <w:rPr>
          <w:noProof/>
          <w:lang w:eastAsia="lv-LV"/>
        </w:rPr>
        <w:drawing>
          <wp:inline distT="0" distB="0" distL="0" distR="0" wp14:anchorId="486E212F" wp14:editId="43FBF53F">
            <wp:extent cx="1250950" cy="9842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250950" cy="984250"/>
                    </a:xfrm>
                    <a:prstGeom prst="rect">
                      <a:avLst/>
                    </a:prstGeom>
                    <a:noFill/>
                    <a:ln>
                      <a:noFill/>
                    </a:ln>
                  </pic:spPr>
                </pic:pic>
              </a:graphicData>
            </a:graphic>
          </wp:inline>
        </w:drawing>
      </w:r>
    </w:p>
    <w:p w14:paraId="0E28A5D2" w14:textId="77777777" w:rsidR="00D81EBC" w:rsidRDefault="000A4701">
      <w:bookmarkStart w:id="0" w:name="_GoBack"/>
      <w:bookmarkEnd w:id="0"/>
    </w:p>
    <w:sectPr w:rsidR="00D81EB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701"/>
    <w:rsid w:val="000A4701"/>
    <w:rsid w:val="00A9402B"/>
    <w:rsid w:val="00C37F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D3764"/>
  <w15:chartTrackingRefBased/>
  <w15:docId w15:val="{57B56841-6EFC-4F5E-8915-EE67C756D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470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A4701"/>
    <w:rPr>
      <w:color w:val="0563C1"/>
      <w:u w:val="single"/>
    </w:rPr>
  </w:style>
  <w:style w:type="paragraph" w:styleId="NormalWeb">
    <w:name w:val="Normal (Web)"/>
    <w:basedOn w:val="Normal"/>
    <w:uiPriority w:val="99"/>
    <w:semiHidden/>
    <w:unhideWhenUsed/>
    <w:rsid w:val="000A4701"/>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106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7D65B.653B1DA0" TargetMode="Externa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andis.Vilcans@tm.gov.lv" TargetMode="External"/><Relationship Id="rId5" Type="http://schemas.openxmlformats.org/officeDocument/2006/relationships/hyperlink" Target="http://www.tm.gov.lv/" TargetMode="External"/><Relationship Id="rId10" Type="http://schemas.openxmlformats.org/officeDocument/2006/relationships/theme" Target="theme/theme1.xml"/><Relationship Id="rId4" Type="http://schemas.openxmlformats.org/officeDocument/2006/relationships/hyperlink" Target="mailto:Ieva.Deksne@tm.gov.lv"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2750</Words>
  <Characters>1569</Characters>
  <Application>Microsoft Office Word</Application>
  <DocSecurity>0</DocSecurity>
  <Lines>13</Lines>
  <Paragraphs>8</Paragraphs>
  <ScaleCrop>false</ScaleCrop>
  <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Arta Šmukste</dc:creator>
  <cp:keywords/>
  <dc:description/>
  <cp:lastModifiedBy>Arta Šmukste</cp:lastModifiedBy>
  <cp:revision>1</cp:revision>
  <dcterms:created xsi:type="dcterms:W3CDTF">2021-11-16T18:44:00Z</dcterms:created>
  <dcterms:modified xsi:type="dcterms:W3CDTF">2021-11-16T18:45:00Z</dcterms:modified>
</cp:coreProperties>
</file>