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22-TA-1668: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6. jūlija noteikumos Nr. 481 "Atbalsta programmas nosacījumi būvdarbiem daudzdzīvokļu mājās un to teritoriju labiekārtošanai"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iekšdarbu veikšanai daudzdzīvokļu mājā, ja atbalsta saņēmējs ir namīpašnieks.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bažas, ka noteikumu 8.1. un 8.2. apakšpunktā norādītās atbalstāmās darbības varētu būt uzskatāmas par iekšdarbiem. Turklāt noteikumu 8.1. un 8.2. apakšpunktā norādītais regulējums nav ierobežots ar apstākli, ka atbalsta saņēmējam būtu jābūt namīpašniekam. Ievērojot minēto, varētu rasties situācija, ka projektā izteiktais noteikumu 8.8. apakšpunkts nonāk pretrunā ar noteikumu 8.1. un 8.2. apakšpunktu, jo visas attiecīgās normas aptver vienus un tos pašus gadījumus. Ievērojot minēto, lūdzam skaidrot, kā viennozīmīgi un nepārprotami nošķirt gadījumus, kad piemērojams noteikumu 8.1. un 8.2. apakšpunkts, kā arī projektā izteiktais noteikumu 8.8. apakšpunkts. Ja minēto skaidrojumu nav iespējams sniegt,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viennozīmīgi un nepārprotami nošķirtu gadījumus, kad piemērojams noteikumu 8.1. un 8.2. apakšpunkts, kā arī projektā izteiktais noteikumu 8.8. apakšpunkts, tiek precizēta 8.8. apakšpunkta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dzīvojamo telpu atjaunošanai, ja atbalsta saņēmējs ir namīpašnieks.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ir pārkāptas Komisijas regulas Nr.  </w:t>
            </w:r>
            <w:r w:rsidR="00000000" w:rsidRPr="00000000" w:rsidDel="00000000">
              <w:rPr>
                <w:rtl w:val="0"/>
              </w:rPr>
              <w:t xml:space="preserve">1407/2013</w:t>
            </w:r>
            <w:r w:rsidR="00000000" w:rsidRPr="00000000" w:rsidDel="00000000">
              <w:rPr>
                <w:rtl w:val="0"/>
              </w:rPr>
              <w:t xml:space="preserve"> prasības, atbalsta saņēmējam ir pienākums atmaksāt sabiedrībai "Altum" visu projekta ietvaros saņemto valsts atbalstu kopā ar procentiem saskaņā ar Komercdarbības atbalsta kontroles likuma IV un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noteikumi paredz stingrākas prasības nekā Komisijas regula Nr.1407/2013, kā arī Komercdarbības atbalsta kontroles likuma IV un V nodaļas vienlaikus nepiemēro, lūdzam šo punktu izteikt,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tiek pārkāptas šajos noteikumos noteiktās komercdarbības atbalsta kontroles normas, tostarp nosacījumi, kas izriet no Komisijas regulas Nr.1407/2013, atbalsta saņēmējam ir pienākums atmaksāt sabiedrībai "Altum" visu projekta ietvaros saņemto valsts atbalstu saskaņā ar Komercdarbības atbalsta kontroles likuma IV vai V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iestrādāta FM 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tiek pārkāptas šajos noteikumos noteiktās komercdarbības atbalsta kontroles normas, tostarp nosacījumi, kas izriet no Komisijas regulas Nr.1407/2013, atbalsta saņēmējam ir pienākums atmaksāt sabiedrībai "Altum" visu projekta ietvaros saņemto valsts atbalstu saskaņā ar Komercdarbības atbalsta kontroles likuma IV vai V nodaļu.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22-TA-1668</w:t>
    </w:r>
    <w:r>
      <w:br/>
    </w:r>
    <w:r w:rsidR="00000000" w:rsidRPr="00000000" w:rsidDel="00000000">
      <w:rPr>
        <w:rtl w:val="0"/>
      </w:rPr>
      <w:t xml:space="preserve">27.06.2022. 13.44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22-TA-1668</w:t>
    </w:r>
    <w:r>
      <w:br/>
    </w:r>
    <w:r w:rsidR="00000000" w:rsidRPr="00000000" w:rsidDel="00000000">
      <w:rPr>
        <w:rtl w:val="0"/>
      </w:rPr>
      <w:t xml:space="preserve">27.06.2022. 13.44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Izziņa_22-TA-1668.docx</dc:title>
</cp:coreProperties>
</file>

<file path=docProps/custom.xml><?xml version="1.0" encoding="utf-8"?>
<Properties xmlns="http://schemas.openxmlformats.org/officeDocument/2006/custom-properties" xmlns:vt="http://schemas.openxmlformats.org/officeDocument/2006/docPropsVTypes"/>
</file>