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22-TA-136: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Šengenas informācijas sistēmas darbības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Šengenas informācijas sistēmas darbības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noformēt likumprojekta noslēgumā norādīto informāciju par likumprojekta stāšanos spēkā kā Šengenas informācijas sistēmas darbības likuma pārejas noteikumu, piemēram, likumprojektā paredzot papildināt Šengenas informācijas sistēmas darbības likuma Pārejas noteikumus ar 7.punktu, kas paredz, ka likumprojektā paredzētie grozījumi likuma 7. un 9.pantā par ziņojumu iekļaušanu SIS stājas spēkā dienā, ar kuru piemērojama </w:t>
            </w:r>
            <w:r w:rsidR="00000000" w:rsidRPr="00000000" w:rsidDel="00000000">
              <w:rPr>
                <w:i w:val="1"/>
                <w:rtl w:val="0"/>
              </w:rPr>
              <w:t xml:space="preserve">Eiropas Parlamenta un Padomes 2018. gada 28.novembra Regula (ES) 2018/1862 par Šengenas Informācijas sistēmas (SIS) izveidi, darbību un izmantošanu policijas sadarbībā un tiesu iestāžu sadarbībā krimināllietās un ar ko groza un atceļ Padomes Lēmumu 2007/533/TI un atceļ Eiropas Parlamenta un Padomes Regulu (EK) Nr.1986/2006 un Komisijas Lēmumu 2010/261/ES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attiecībā uz paziņošanu "Latvijas Vēstnesim" par regulas piemērošanas sākumu, aicinām atsaukties uz konkrētām regulas normām, kas nosaka tās piemērošanas sākuma brīdi - regulas 79. panta 2. un 5.punktu, kas paredz attiecīga Eiropas Komisijas lēmuma pieņemšanu.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Šengenas informācijas sistēmas darbības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Republikas Saeimas un Ministru Kabineta Ziņotājs, Latvijas Vēstnesis, )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šobrīd paredz, ka likums stājas spēkā datumā, ar kuru Eiropas Komisija noteiks regulu 2018/1862 par piemērojamu.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minēto nosacījumu un precizēt likumprojekta spēkā stāšanās datumu (ja nepieciešams, papildinot likumu ar attiecīgu Pārejas noteikumu). Piemēram, ierosinām noteikt, ka likuma grozījumi stājas spēkā datumā, ar kuru ir piemērojama regula Nr. 2018/1862 saskaņā ar tās 79. panta 5. punktu (t.i.,  izvairīties no  regulas spēkā stāšanās kārtības aprakstīšanas likumprojektā). Tāpat nepieciešamības gadījumā tiesiskās noteiktības nolūkā lūdzam paredzēt tiesisko regulējumu, ka brīdī, kad Eiropas Komisija pieņēmusi regulas 79. panta 2. punktā paredzēto lēmumu, attiecīgs paziņojums tiek nosūtīts publicēšanai oficiālajā izdevumā "Latvijas Vēstnesis", līdzīgi kā tas darīts, piemēram, 2022. gada 7. aprīļa likumā "Grozījumi Latvijas Republikas valsts robežas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Šengenas informācijas sistēmas darbības likumā (Latvijas Republikas Saeimas un Ministru Kabineta Ziņotājs, 2007, 14. nr.; Latvijas Vēstnesis, 2013, 6. nr.; 2015, 118. nr.; 2018, 225. nr.; 2021, 193. nr.) šādus grozījumus: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 pantu ar devīto, desmito un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Lēmumu par ziņojuma iekļaušanu sistēmā par Regulas 2018/1862 32. panta 1. d) vai e) apakšpunktā minēto personu attiecībā uz liegumu tai izceļot no Latvijas Republikas, lai draudu novēršanas nolūkā uzlaiku aizsargātu, pieņem Valsts policijas priekšnieka pilnvarota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Lēmumu par ziņojuma iekļaušanu sistēmā par Regulas 2018/1862 32. panta 1. d) ii) vai iii) apakšpunktā minēto personu attiecībā uz liegumu tai izceļot no Latvijas Republikas, lai draudu novēršanas nolūkā uz laiku aizsargātu, pieņem iekšlietu ministrs.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Lēmumu par ziņojuma iekļaušanu sistēmā par Regulas 2018/1862 32. panta 1. c) apakšpunktā minēto bērnu, attiecībā uz liegumu tam izceļot no Latvijas Republikas, lai draudu novēršanas nolūkā uz laiku aizsargātu, pieņem tiesa.".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Civilprocesa likumam tiesa pieņem lēmumu par aizliegumu bērna izvešanai no valsts, nevis lēmumu par ziņojuma iekļaušanu sistēmā. Skaidrs, ka no šī tiesas lēmuma attiecīgi izriet nepieciešamība iekļaut attiecīgo paziņojumu sistēmā, tomēr, lai Šengenas informācijas sistēmas darbības likuma regulējums nebūtu pretrunā Civilprocesa likumā noteiktajam, aicinām konkretizēt un pārformulēt Likumprojekta 1. pantā ietverto grozījumu, kas paredz papildināt likuma 7. pantu ar vienpadsmito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Ziņojumu par  Regulas 2018/1862 32.panta 1. punkta c) apakšpunktā minēto bērnu ievada sistēmā pēc tiesas lēmuma par aizliegumu bērna izvešanai no valsts.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Lēmumu par ziņojuma iekļaušanu sistēmā par Regulas 2018/1862 32. panta 1. d) vai e) apakšpunktā minēto personu attiecībā uz liegumu tai izceļot no Latvijas Republikas, lai draudu novēršanas nolūkā uz laiku aizsargātu, pieņem Valsts policijas priekšnieka pilnvarotais darbinieks.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Lēmumu par ziņojuma iekļaušanu sistēmā par Regulas 2018/1862 32. panta 1. d) ii) vai iii) apakšpunktā minēto personu attiecībā uz liegumu tai izceļot no Latvijas Republikas, lai draudu novēršanas nolūkā uz laiku aizsargātu, pieņem iekšlietu ministrs.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Tiesas lēmums par aizliegumu bērna izvešanai no valsts ir uzskatāms par lūgumu Regulas 2018/1862 32. panta 1. c) apakšpunkta izpratnē un ir pamats attiecīga ziņojuma iekļaušanai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w:t>
            </w:r>
            <w:r w:rsidR="00000000" w:rsidRPr="00000000" w:rsidDel="00000000">
              <w:rPr>
                <w:vertAlign w:val="superscript"/>
                <w:rtl w:val="0"/>
              </w:rPr>
              <w:t xml:space="preserve">1</w:t>
            </w:r>
            <w:r w:rsidR="00000000" w:rsidRPr="00000000" w:rsidDel="00000000">
              <w:rPr>
                <w:rtl w:val="0"/>
              </w:rPr>
              <w:t xml:space="preserve"> pantu ar ceturto, piekto un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Personai, attiecībā uz kuru lēmumu par ziņojuma iekļaušanu Sistēmā pieņēmusi Valsts policijas priekšnieka pilnvarota amatpersona, ir tiesības to apstrīdēt un pārsūdzēt tādā pašā kārtībā, kāda likumā "Par policiju" noteikta Valsts policijas priekšnieka pilnvarotas amatpersonas lēmuma par liegumu personai izceļot no Latvijas Republikas apstrīdēšanai un pārsūdzēšanai.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Personai, attiecībā uz kuru lēmumu par ziņojuma iekļaušanu Sistēmā pieņēmis iekšlietu ministrs, ir tiesības to pārsūdzēt tādā pašā kārtībā, kāda Nacionālās drošības likumā noteikta iekšlietu ministra lēmuma par liegumu personai izceļot no Latvijas Republikas pārsūdzēšanai.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Lēmumu par ziņojuma iekļaušanu Sistēmā, ko pieņēmusi tiesa, nav pārsūdzams.".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Ierobežojumu pārsūdzēt lēmumu par aizliegumu bērna izvešanai no valsts nosaka Civilprocesa likums. Tomēr Civilprocesa likuma 644.</w:t>
            </w:r>
            <w:r w:rsidR="00000000" w:rsidRPr="00000000" w:rsidDel="00000000">
              <w:rPr>
                <w:vertAlign w:val="superscript"/>
                <w:rtl w:val="0"/>
              </w:rPr>
              <w:t xml:space="preserve">18A</w:t>
            </w:r>
            <w:r w:rsidR="00000000" w:rsidRPr="00000000" w:rsidDel="00000000">
              <w:rPr>
                <w:rtl w:val="0"/>
              </w:rPr>
              <w:t xml:space="preserve"> panta ceturtajā daļā kā alternatīvā tiesību aizsardzības garantija ir  paredzēta iespēja lūgt tiesu atcelt minēto lēmumu. Līdz ar to norma, ka lēmumu par ziņojuma iekļaušanu sistēmā, ko pieņēmusi tiesa, nav pārsūdzams (Likumprojekta 2. pantā ietvertais grozījums par 7.</w:t>
            </w:r>
            <w:r w:rsidR="00000000" w:rsidRPr="00000000" w:rsidDel="00000000">
              <w:rPr>
                <w:vertAlign w:val="superscript"/>
                <w:rtl w:val="0"/>
              </w:rPr>
              <w:t xml:space="preserve">1</w:t>
            </w:r>
            <w:r w:rsidR="00000000" w:rsidRPr="00000000" w:rsidDel="00000000">
              <w:rPr>
                <w:rtl w:val="0"/>
              </w:rPr>
              <w:t xml:space="preserve"> panta papildināšanu ar sesto daļu), pēc būtības dublē Civilprocesa likumā noteikto un reizē nav arī izsmeļoša tiesību aizsardzības garantiju kontekstā. Uzskatām, ka Šengenas informācijas sistēmas darbības likumā minētais tiesas lēmuma pārsūdzības jautājums nebūtu jāregulē. Tā vietā Šengenas informācijas sistēmas darbības likumā var tikt noteikts, piemēram, ka lēmuma par aizliegumu bērna izvešanai no valsts pārsūdzības un atcelšanas jautājumus regulē Civilprocesa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 sadaļas 6. punktā norādīto, ka saskaņā ar grozījumiem Informācijas centra 2020. gada 12. augusta vienošanās Nr. IC/IDF/2020/2 projekta "Šengenas informācijas sistēmas pilnveidošana" izmaksas 2022.gadā plānotas 831 137 euro apmērā, savukārt saskaņā ar likumu "Par valsts budžetu 2022. gadam" izmaksas 2022.gadā plānotas 718 034 euro apmērā, lūdzam precizēt anotācijas 3. sadaļas 3. aili "izmaiņas kārtējā gadā, salīdzinot ar valsts budžetu kārtējam gadam" svītrojot 1. un 1.1. punktos norādītās summas un norādot summu 113 103 euro pie budžeta izdevumiem 2. un 2.1. punktos, kā arī pie finansiālās ietekmes 3., 3.1., 5. un 5.1. punktos. Attiecīgi precizējama 3. sadaļas 6. punkta pēdējā rindkopā norādītā informācija, ka 2022. gadam papildu nepieciešamo finansējumu Iekšlietu ministrija nodrošinās iesniedzot priekšlikumu pārdalei no 74.resora "Gadskārtējā valsts budžeta izpildes procesā pārdalāmais finansējums" 80.00.00 programmas "Nesadalītais finansējums Eiropas Savienības politiku instrumentu un pārējās ārvalstu finanšu palīdzības līdzfinansēto projektu un pasākumu īstenošanai" atbilstoši normatīvajos aktos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punktā "cita informācija" norādīt, ka projekta izpildē iesaistītās institūcijas projekta īstenošanu nodrošinās tām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ar likumprojektu tiesas kompetence – tiesības un pienākumi - tiek mainīti pēc būtības, un nepieciešamības gadījumā svītrot anotācijas 7.4. apakšpunktā vārdus “tiesu iestāžu tiesības un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kompetence arī tiek paplašināta, jo tiesām nav citos normatīvajos aktos noteikta kompetence lemt (izteikt lūgumu) par ziņojumu iekļaušanu Sistēmā par attiecīgajām personām, ko prakstiski veiks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sīkāk skaidrot likumprojekta 2. un 3.pantā minēto lēmumu par ziņojuma iekļaušanu [Šengenas informācijas] sistēmā pieņemšanas procedūru saistībā ar likumprojektā Nr.21-TA-1780 "Grozījumi likumā "Par policiju"", kā arī likumprojektā Nr. 21-TA-1549 "Grozījumi Nacionālās drošības likumā" paredzētajām izmaiņām lēmumu par aizliegumu personām izceļot no valsts pieņemšanu. Tiesiskās skaidrības nolūkos lūdzam anotācijā norādīt, vai lēmums par aizliegumu Regulas 2018/1862 32. panta 1. d) vai e) apakšpunktā minētajām personām izceļot no Latvijas Republikas, un lēmums par ziņojuma iekļaušanu sistēmā par Regulas 2018/1862 32. panta 1. d) vai e) apakšpunktā minēto personu attiecībā uz liegumu tai izceļot no Latvijas Republikas ir divi atsevišķi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likuma 7. pantu papildināt ar devīto, desmito un vienpadsmito daļu, nosakot, ka lēmumu par ziņojuma iekļaušanu sistēmā par regulas 2018/1862 32. panta 1. c), d) vai e) apakšpunktā minēto personu (Latvijas pilsonis, nepilsonis, persona, kurai Latvijas Republikā piešķirts bezvalstnieka vai alternatīvais statuss, vai bēglis) attiecībā uz liegumu tai izceļot no Latvijas Republikas, pieņem attiecīgi iekšlietu ministrs, Valsts policijas priekšnieka pilnvarotā amatpersona vai tiesa. Attiecīgi likumprojektā paredzēts, ka par regulas 2018/1862 32. panta 1. d) un e) apakšpunktā minēto personu Sistēmā varēs iekļaut divus atšķirīgus lēmumus, proti, iekšlietu ministra (Nacionālās drošības likums) – par regulas 2018/1862 32. panta 1. d) ii) un iii) apakšpunktā minēto personu un Valsts policijas priekšnieka pilnvarotās amatpersonas lēmumu (likums "Par policiju") – par regulas 2018/1862 32. panta 1. d) un e) apakšpunktā minēto personu, jo minētie lēmumi pēc būtības ir atšķirīgi.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vai ar likumprojektu tiesas kompetence – tiesības un pienākumi - tiek mainīti pēc būtības, un nepieciešamības gadījumā svītrot anotācijas 7.4. apakšpunktā vārdus “tiesu iestāžu tiesības un pienākumus”. Tiesām pēc būtības jauns pienākums netiek noteikts, tiesas arī turpmāk Civilprocesa likuma  644.</w:t>
            </w:r>
            <w:r w:rsidR="00000000" w:rsidRPr="00000000" w:rsidDel="00000000">
              <w:rPr>
                <w:vertAlign w:val="superscript"/>
                <w:rtl w:val="0"/>
              </w:rPr>
              <w:t xml:space="preserve">18A</w:t>
            </w:r>
            <w:r w:rsidR="00000000" w:rsidRPr="00000000" w:rsidDel="00000000">
              <w:rPr>
                <w:rtl w:val="0"/>
              </w:rPr>
              <w:t xml:space="preserve"> panta kārtībā pieņemto lēmumu sūtīs Valsts policijai vai Robežsardzei. Tas, ka minētais tiesas lēmums tiek uzskatīts arī par lūgumu, lai konkrētu informāciju Valsts policija vai Robežsardze ievadītu sistēmā, nerada tiesai kādus papildus pienākumus. Papildus pienākums šajā gadījumā ir noteikts Valsts policijai un Robežsardzei, kurai saņemot šādu tiesas lēmumu, ir pienākums attiecīgi rīkoties, jo konkrētais tiesas lēmums uzskatāmas arī par minēto lūgumu.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piekto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Šengenas informācijas sistēmas darbības likuma 14.pantā jau ir piektā daļa, lūdzam precizēt likumprojekta 3.pantā ietverto 14.pantu, saglabājot piekto daļu esošajā redakcijā un papildinot 14.pantu ar jaunu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2.</w:t>
            </w:r>
            <w:r w:rsidR="00000000" w:rsidRPr="00000000" w:rsidDel="00000000">
              <w:rPr>
                <w:vertAlign w:val="superscript"/>
                <w:rtl w:val="0"/>
              </w:rPr>
              <w:t xml:space="preserve">1</w:t>
            </w:r>
            <w:r w:rsidR="00000000" w:rsidRPr="00000000" w:rsidDel="00000000">
              <w:rPr>
                <w:rtl w:val="0"/>
              </w:rPr>
              <w:t xml:space="preserve">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atzīmēt, ka Šengenas informācijas sistēmas attīstībai ir ietekme uz valsts IKT attīstību (atbilstoši Valsts informācijas sistēmu likumā sniegtajam valsts informācijas sistēmas skaidrojumam Šengenas informācijas sistēma ir vlasts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saskaņā ar Ministru kabineta 2021. gada 31. augusta noteikumu Nr. 597 "Valsts informācijas sistēmu attīstības projektu uzraudzības kārtība" 5.punktu iesniedzams aktivitātes apraksts - atbilstoši projekta stadijai - saskaņošanai Vides aizsardzības un reģionālās attīstības ministrijā.)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22-TA-136</w:t>
    </w:r>
    <w:r>
      <w:br/>
    </w:r>
    <w:r w:rsidR="00000000" w:rsidRPr="00000000" w:rsidDel="00000000">
      <w:rPr>
        <w:rtl w:val="0"/>
      </w:rPr>
      <w:t xml:space="preserve">15.11.2022. 09.58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22-TA-136</w:t>
    </w:r>
    <w:r>
      <w:br/>
    </w:r>
    <w:r w:rsidR="00000000" w:rsidRPr="00000000" w:rsidDel="00000000">
      <w:rPr>
        <w:rtl w:val="0"/>
      </w:rPr>
      <w:t xml:space="preserve">15.11.2022. 09.58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Izziņa_22-TA-136.docx</dc:title>
</cp:coreProperties>
</file>

<file path=docProps/custom.xml><?xml version="1.0" encoding="utf-8"?>
<Properties xmlns="http://schemas.openxmlformats.org/officeDocument/2006/custom-properties" xmlns:vt="http://schemas.openxmlformats.org/officeDocument/2006/docPropsVTypes"/>
</file>