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CAAB2" w14:textId="6F90DAAB" w:rsidR="0033103C" w:rsidRPr="00C75E5E" w:rsidRDefault="00384A96" w:rsidP="00171A3A">
      <w:pPr>
        <w:jc w:val="center"/>
        <w:rPr>
          <w:rFonts w:ascii="Times New Roman" w:hAnsi="Times New Roman" w:cs="Times New Roman"/>
          <w:b/>
          <w:bCs/>
          <w:sz w:val="28"/>
          <w:szCs w:val="28"/>
        </w:rPr>
      </w:pPr>
      <w:bookmarkStart w:id="0" w:name="_GoBack"/>
      <w:bookmarkEnd w:id="0"/>
      <w:r w:rsidRPr="00C75E5E">
        <w:rPr>
          <w:rFonts w:ascii="Times New Roman" w:hAnsi="Times New Roman" w:cs="Times New Roman"/>
          <w:b/>
          <w:bCs/>
          <w:sz w:val="28"/>
          <w:szCs w:val="28"/>
        </w:rPr>
        <w:t>Institūciju</w:t>
      </w:r>
      <w:r w:rsidR="00FB49C9" w:rsidRPr="00C75E5E">
        <w:rPr>
          <w:rFonts w:ascii="Times New Roman" w:hAnsi="Times New Roman" w:cs="Times New Roman"/>
          <w:b/>
          <w:bCs/>
          <w:sz w:val="28"/>
          <w:szCs w:val="28"/>
        </w:rPr>
        <w:t xml:space="preserve"> sniegtā</w:t>
      </w:r>
      <w:r w:rsidRPr="00C75E5E">
        <w:rPr>
          <w:rFonts w:ascii="Times New Roman" w:hAnsi="Times New Roman" w:cs="Times New Roman"/>
          <w:b/>
          <w:bCs/>
          <w:sz w:val="28"/>
          <w:szCs w:val="28"/>
        </w:rPr>
        <w:t>s</w:t>
      </w:r>
      <w:r w:rsidR="00FB49C9" w:rsidRPr="00C75E5E">
        <w:rPr>
          <w:rFonts w:ascii="Times New Roman" w:hAnsi="Times New Roman" w:cs="Times New Roman"/>
          <w:b/>
          <w:bCs/>
          <w:sz w:val="28"/>
          <w:szCs w:val="28"/>
        </w:rPr>
        <w:t xml:space="preserve"> informācija</w:t>
      </w:r>
      <w:r w:rsidRPr="00C75E5E">
        <w:rPr>
          <w:rFonts w:ascii="Times New Roman" w:hAnsi="Times New Roman" w:cs="Times New Roman"/>
          <w:b/>
          <w:bCs/>
          <w:sz w:val="28"/>
          <w:szCs w:val="28"/>
        </w:rPr>
        <w:t>s</w:t>
      </w:r>
      <w:r w:rsidR="00FB49C9" w:rsidRPr="00C75E5E">
        <w:rPr>
          <w:rFonts w:ascii="Times New Roman" w:hAnsi="Times New Roman" w:cs="Times New Roman"/>
          <w:b/>
          <w:bCs/>
          <w:sz w:val="28"/>
          <w:szCs w:val="28"/>
        </w:rPr>
        <w:t xml:space="preserve"> par atbilstoši kompetencei apzinātiem pakalpojumiem un atvieglojumiem, kuru saņemšana atkarīga no dzīvesvietas deklarēšanas vietas</w:t>
      </w:r>
      <w:r w:rsidR="00BD0E39" w:rsidRPr="00C75E5E">
        <w:rPr>
          <w:rFonts w:ascii="Times New Roman" w:hAnsi="Times New Roman" w:cs="Times New Roman"/>
          <w:b/>
          <w:bCs/>
          <w:sz w:val="28"/>
          <w:szCs w:val="28"/>
        </w:rPr>
        <w:t>,</w:t>
      </w:r>
      <w:r w:rsidRPr="00C75E5E">
        <w:rPr>
          <w:rFonts w:ascii="Times New Roman" w:hAnsi="Times New Roman" w:cs="Times New Roman"/>
          <w:b/>
          <w:bCs/>
          <w:sz w:val="28"/>
          <w:szCs w:val="28"/>
        </w:rPr>
        <w:t xml:space="preserve"> apkopojums</w:t>
      </w:r>
    </w:p>
    <w:tbl>
      <w:tblPr>
        <w:tblStyle w:val="TableGrid"/>
        <w:tblW w:w="0" w:type="auto"/>
        <w:tblLook w:val="04A0" w:firstRow="1" w:lastRow="0" w:firstColumn="1" w:lastColumn="0" w:noHBand="0" w:noVBand="1"/>
      </w:tblPr>
      <w:tblGrid>
        <w:gridCol w:w="2263"/>
        <w:gridCol w:w="11685"/>
      </w:tblGrid>
      <w:tr w:rsidR="00FB49C9" w:rsidRPr="00C75E5E" w14:paraId="3A738F5B" w14:textId="77777777" w:rsidTr="00384A96">
        <w:tc>
          <w:tcPr>
            <w:tcW w:w="2263" w:type="dxa"/>
            <w:shd w:val="clear" w:color="auto" w:fill="D9F2D0" w:themeFill="accent6" w:themeFillTint="33"/>
          </w:tcPr>
          <w:p w14:paraId="3BC42824" w14:textId="1CBE6386" w:rsidR="00FB49C9" w:rsidRPr="00C75E5E" w:rsidRDefault="00FB49C9" w:rsidP="00384A96">
            <w:pPr>
              <w:spacing w:before="120" w:after="120"/>
              <w:jc w:val="center"/>
              <w:rPr>
                <w:rFonts w:ascii="Times New Roman" w:hAnsi="Times New Roman" w:cs="Times New Roman"/>
                <w:b/>
                <w:bCs/>
                <w:sz w:val="24"/>
                <w:szCs w:val="24"/>
              </w:rPr>
            </w:pPr>
            <w:r w:rsidRPr="00C75E5E">
              <w:rPr>
                <w:rFonts w:ascii="Times New Roman" w:hAnsi="Times New Roman" w:cs="Times New Roman"/>
                <w:b/>
                <w:bCs/>
                <w:sz w:val="24"/>
                <w:szCs w:val="24"/>
              </w:rPr>
              <w:t>Institūcija</w:t>
            </w:r>
          </w:p>
        </w:tc>
        <w:tc>
          <w:tcPr>
            <w:tcW w:w="11685" w:type="dxa"/>
            <w:shd w:val="clear" w:color="auto" w:fill="D9F2D0" w:themeFill="accent6" w:themeFillTint="33"/>
          </w:tcPr>
          <w:p w14:paraId="6F44B8D4" w14:textId="29080405" w:rsidR="00FB49C9" w:rsidRPr="00C75E5E" w:rsidRDefault="00FB49C9" w:rsidP="00384A96">
            <w:pPr>
              <w:spacing w:before="120" w:after="120"/>
              <w:jc w:val="center"/>
              <w:rPr>
                <w:rFonts w:ascii="Times New Roman" w:hAnsi="Times New Roman" w:cs="Times New Roman"/>
                <w:b/>
                <w:bCs/>
                <w:sz w:val="24"/>
                <w:szCs w:val="24"/>
              </w:rPr>
            </w:pPr>
            <w:r w:rsidRPr="00C75E5E">
              <w:rPr>
                <w:rFonts w:ascii="Times New Roman" w:hAnsi="Times New Roman" w:cs="Times New Roman"/>
                <w:b/>
                <w:bCs/>
                <w:sz w:val="24"/>
                <w:szCs w:val="24"/>
              </w:rPr>
              <w:t>Sniegtā informācija</w:t>
            </w:r>
          </w:p>
        </w:tc>
      </w:tr>
      <w:tr w:rsidR="00FB49C9" w:rsidRPr="00C75E5E" w14:paraId="7CD1EC1C" w14:textId="77777777" w:rsidTr="00171A3A">
        <w:tc>
          <w:tcPr>
            <w:tcW w:w="2263" w:type="dxa"/>
          </w:tcPr>
          <w:p w14:paraId="7E4F7716" w14:textId="0CDE7154" w:rsidR="00FB49C9" w:rsidRPr="00C75E5E" w:rsidRDefault="00FB49C9" w:rsidP="00FB49C9">
            <w:pPr>
              <w:jc w:val="both"/>
              <w:rPr>
                <w:rFonts w:ascii="Times New Roman" w:hAnsi="Times New Roman" w:cs="Times New Roman"/>
                <w:sz w:val="24"/>
                <w:szCs w:val="24"/>
              </w:rPr>
            </w:pPr>
            <w:r w:rsidRPr="00C75E5E">
              <w:rPr>
                <w:rFonts w:ascii="Times New Roman" w:hAnsi="Times New Roman" w:cs="Times New Roman"/>
                <w:b/>
                <w:bCs/>
                <w:sz w:val="24"/>
                <w:szCs w:val="24"/>
              </w:rPr>
              <w:t>Tieslietu ministrija</w:t>
            </w:r>
            <w:r w:rsidR="00171A3A" w:rsidRPr="00C75E5E">
              <w:rPr>
                <w:rFonts w:ascii="Times New Roman" w:hAnsi="Times New Roman" w:cs="Times New Roman"/>
                <w:sz w:val="24"/>
                <w:szCs w:val="24"/>
              </w:rPr>
              <w:t xml:space="preserve"> (turpmāk – TM)</w:t>
            </w:r>
          </w:p>
        </w:tc>
        <w:tc>
          <w:tcPr>
            <w:tcW w:w="11685" w:type="dxa"/>
          </w:tcPr>
          <w:p w14:paraId="2C96B908" w14:textId="4FBD495A" w:rsidR="00FB49C9" w:rsidRPr="00C75E5E" w:rsidRDefault="00171A3A"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G</w:t>
            </w:r>
            <w:r w:rsidR="00FB49C9" w:rsidRPr="00C75E5E">
              <w:rPr>
                <w:rFonts w:ascii="Times New Roman" w:hAnsi="Times New Roman" w:cs="Times New Roman"/>
                <w:sz w:val="24"/>
                <w:szCs w:val="24"/>
              </w:rPr>
              <w:t>adījum</w:t>
            </w:r>
            <w:r w:rsidRPr="00C75E5E">
              <w:rPr>
                <w:rFonts w:ascii="Times New Roman" w:hAnsi="Times New Roman" w:cs="Times New Roman"/>
                <w:sz w:val="24"/>
                <w:szCs w:val="24"/>
              </w:rPr>
              <w:t>i</w:t>
            </w:r>
            <w:r w:rsidR="00FB49C9" w:rsidRPr="00C75E5E">
              <w:rPr>
                <w:rFonts w:ascii="Times New Roman" w:hAnsi="Times New Roman" w:cs="Times New Roman"/>
                <w:sz w:val="24"/>
                <w:szCs w:val="24"/>
              </w:rPr>
              <w:t xml:space="preserve">, kad </w:t>
            </w:r>
            <w:r w:rsidRPr="00C75E5E">
              <w:rPr>
                <w:rFonts w:ascii="Times New Roman" w:hAnsi="Times New Roman" w:cs="Times New Roman"/>
                <w:sz w:val="24"/>
                <w:szCs w:val="24"/>
              </w:rPr>
              <w:t>TM</w:t>
            </w:r>
            <w:r w:rsidR="00FB49C9" w:rsidRPr="00C75E5E">
              <w:rPr>
                <w:rFonts w:ascii="Times New Roman" w:hAnsi="Times New Roman" w:cs="Times New Roman"/>
                <w:sz w:val="24"/>
                <w:szCs w:val="24"/>
              </w:rPr>
              <w:t xml:space="preserve"> kompetencē esošajos normatīvajos aktos kādas rīcības īstenošana ir saistīta ar personas deklarētās dzīves vietas faktu (</w:t>
            </w:r>
            <w:r w:rsidR="00FB49C9" w:rsidRPr="00C75E5E">
              <w:rPr>
                <w:rFonts w:ascii="Times New Roman" w:hAnsi="Times New Roman" w:cs="Times New Roman"/>
                <w:i/>
                <w:iCs/>
                <w:sz w:val="24"/>
                <w:szCs w:val="24"/>
              </w:rPr>
              <w:t>pārējos gadījumos personas deklarētās dzīves vietas fakts tiek izmantots komunikācijas kanālam</w:t>
            </w:r>
            <w:r w:rsidR="00FB49C9" w:rsidRPr="00C75E5E">
              <w:rPr>
                <w:rFonts w:ascii="Times New Roman" w:hAnsi="Times New Roman" w:cs="Times New Roman"/>
                <w:sz w:val="24"/>
                <w:szCs w:val="24"/>
              </w:rPr>
              <w:t>):</w:t>
            </w:r>
          </w:p>
          <w:p w14:paraId="2D45281F" w14:textId="17C6D2E0"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t xml:space="preserve">1. Saskaņā ar Notariāta likuma 252. pantu </w:t>
            </w:r>
            <w:r w:rsidRPr="00C75E5E">
              <w:rPr>
                <w:rFonts w:ascii="Times New Roman" w:hAnsi="Times New Roman" w:cs="Times New Roman"/>
                <w:b/>
                <w:bCs/>
                <w:sz w:val="24"/>
                <w:szCs w:val="24"/>
              </w:rPr>
              <w:t>mantošanas iesniegumu</w:t>
            </w:r>
            <w:r w:rsidRPr="00C75E5E">
              <w:rPr>
                <w:rFonts w:ascii="Times New Roman" w:hAnsi="Times New Roman" w:cs="Times New Roman"/>
                <w:sz w:val="24"/>
                <w:szCs w:val="24"/>
              </w:rPr>
              <w:t xml:space="preserve"> iesniedz zvērinātam notāram, kas praktizē tajā apgabaltiesas darbības teritorijā, kur bija mantojuma atstājēja pēdējā deklarētā dzīvesvieta, bet, ja tā nav zināma, — pēc mantojamās mantas vai tās galvenās daļas atrašanās vietas. </w:t>
            </w:r>
          </w:p>
          <w:p w14:paraId="5120FA4A" w14:textId="77777777"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t xml:space="preserve">Šāda prasība likumā sākotnēji noteikta, lai mantojuma lietas tiktu uzsāktas pēc iespējas tuvāk mantojuma atstājēja dzīvesvietai, vienlaikus arī tādējādi līdzsvarojot zvērinātu notāru noslodzi mantojuma lietu vešanā un izlīdzinot noslodzi visā Latvijas teritorijā. </w:t>
            </w:r>
          </w:p>
          <w:p w14:paraId="792EB83B" w14:textId="5774F2D0"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t xml:space="preserve">2. Bāriņtiesu likuma 2. panta otrā daļa noteic, ka </w:t>
            </w:r>
            <w:r w:rsidRPr="00C75E5E">
              <w:rPr>
                <w:rFonts w:ascii="Times New Roman" w:hAnsi="Times New Roman" w:cs="Times New Roman"/>
                <w:b/>
                <w:bCs/>
                <w:sz w:val="24"/>
                <w:szCs w:val="24"/>
              </w:rPr>
              <w:t>novadu teritoriālajās vienībās, kurās nav notāra</w:t>
            </w:r>
            <w:r w:rsidRPr="00C75E5E">
              <w:rPr>
                <w:rFonts w:ascii="Times New Roman" w:hAnsi="Times New Roman" w:cs="Times New Roman"/>
                <w:sz w:val="24"/>
                <w:szCs w:val="24"/>
              </w:rPr>
              <w:t xml:space="preserve">, </w:t>
            </w:r>
            <w:r w:rsidRPr="00C75E5E">
              <w:rPr>
                <w:rFonts w:ascii="Times New Roman" w:hAnsi="Times New Roman" w:cs="Times New Roman"/>
                <w:b/>
                <w:bCs/>
                <w:sz w:val="24"/>
                <w:szCs w:val="24"/>
              </w:rPr>
              <w:t>bāriņtiesa</w:t>
            </w:r>
            <w:r w:rsidRPr="00C75E5E">
              <w:rPr>
                <w:rFonts w:ascii="Times New Roman" w:hAnsi="Times New Roman" w:cs="Times New Roman"/>
                <w:sz w:val="24"/>
                <w:szCs w:val="24"/>
              </w:rPr>
              <w:t xml:space="preserve"> Civillikumā noteiktajos gadījumos </w:t>
            </w:r>
            <w:r w:rsidRPr="00C75E5E">
              <w:rPr>
                <w:rFonts w:ascii="Times New Roman" w:hAnsi="Times New Roman" w:cs="Times New Roman"/>
                <w:b/>
                <w:bCs/>
                <w:sz w:val="24"/>
                <w:szCs w:val="24"/>
              </w:rPr>
              <w:t>sniedz palīdzību mantojuma lietu kārtošanā</w:t>
            </w:r>
            <w:r w:rsidRPr="00C75E5E">
              <w:rPr>
                <w:rFonts w:ascii="Times New Roman" w:hAnsi="Times New Roman" w:cs="Times New Roman"/>
                <w:sz w:val="24"/>
                <w:szCs w:val="24"/>
              </w:rPr>
              <w:t xml:space="preserve">, gādā par mantojuma apsardzību, kā arī izdara apliecinājumus un pilda citus šā likuma 61. pantā norādītos uzdevumus. Saskaņā ar Bāriņtiesu likuma 61. panta pirmās daļas 1., 3., 4., 5., 7. un 8. punktu bāriņtiesa ir tiesīga izdarīt apliecinājumus un pildīt citus Bāriņtiesu likuma VII nodaļā noteiktos uzdevumus, ja personu deklarētā dzīvesvieta ir attiecīgās bāriņtiesas darbības teritorijā. </w:t>
            </w:r>
          </w:p>
          <w:p w14:paraId="105E96FD" w14:textId="1B3EB14A"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t xml:space="preserve">Šāds ierobežojums pamatojams ar to, ka likumdevējs, ņemot vērā funkciju apjomu, ko bāriņtiesām jāveic prioritārā kārtībā, bāriņtiesu kompetencē nodevis tikai atsevišķus un ierobežota apjoma apliecinājumus, kas noteiktos gadījumos bāriņtiesām būtu izpildāmi tikai un vienīgi attiecībā uz bāriņtiesas darbības teritorijas iedzīvotājiem. Būtiski ņemt vērā, ka šāds ierobežojums arī noteikts tādēļ, ka Latvijā, tāpat kā citās pasaules valstīs, publiskā apliecinājuma iestāde ir zvērināts notārs. Saskaņā ar Notariāta likuma 1. un 2. pantu notariālās lietas tiesu iestāžu uzraudzībā uzdots pārzināt zvērinātiem notāriem šajā likumā noteiktajā kārtībā. Zvērināti notāri ir tiesu sistēmai piederīgas personas, kuras pastāv pie apgabaltiesām un pilda viņiem likumā noteiktos pienākumus. Tādējādi notariālās palīdzības sniegšana valstī primāri ir zvērinātu notāru kompetencē un bāriņtiesām piekritīgos apliecinājumus personām ir iespējams saņemt, vēršoties pie Latvijā praktizējošiem zvērinātiem notāriem. </w:t>
            </w:r>
          </w:p>
          <w:p w14:paraId="17D31C96" w14:textId="4F242897"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t xml:space="preserve">3. Valsts nodrošinātās juridiskās palīdzības likuma 22. panta trešā daļa noteic, ka </w:t>
            </w:r>
            <w:r w:rsidRPr="00C75E5E">
              <w:rPr>
                <w:rFonts w:ascii="Times New Roman" w:hAnsi="Times New Roman" w:cs="Times New Roman"/>
                <w:b/>
                <w:bCs/>
                <w:sz w:val="24"/>
                <w:szCs w:val="24"/>
              </w:rPr>
              <w:t>persona var saņemt juridiskās palīdzības pieprasījuma veidlapu</w:t>
            </w:r>
            <w:r w:rsidRPr="00C75E5E">
              <w:rPr>
                <w:rFonts w:ascii="Times New Roman" w:hAnsi="Times New Roman" w:cs="Times New Roman"/>
                <w:sz w:val="24"/>
                <w:szCs w:val="24"/>
              </w:rPr>
              <w:t>, kā arī informāciju par veidlapas aizpildīšanu un tai pievienojamiem dokumentiem Tiesu administrācijā vai pašvaldībā, kuras administratīvajā teritorijā ir šīs personas deklarētā dzīvesvieta vai kur tā tiesiski uzturas. Normā minētais ir tikai viens no veidiem, kā saņemt izdrukātu veidlapas formu un atbalstu šīs veidlapas aizpildīšanai. Vienlaikus šis regulējums neierobežo personu šīs tiesības realizēšanā, jo veidlapa pieejama aizpildīšanai arī elektroniski.</w:t>
            </w:r>
          </w:p>
          <w:p w14:paraId="18FC7492" w14:textId="7032E3D3"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lastRenderedPageBreak/>
              <w:tab/>
              <w:t xml:space="preserve">4. Civilprocesa likumā personas deklarētā dzīvesvieta cita starpā ir saistāma ar </w:t>
            </w:r>
            <w:r w:rsidRPr="00C75E5E">
              <w:rPr>
                <w:rFonts w:ascii="Times New Roman" w:hAnsi="Times New Roman" w:cs="Times New Roman"/>
                <w:b/>
                <w:bCs/>
                <w:sz w:val="24"/>
                <w:szCs w:val="24"/>
              </w:rPr>
              <w:t>tiesas piekritības noteikšanu</w:t>
            </w:r>
            <w:r w:rsidRPr="00C75E5E">
              <w:rPr>
                <w:rFonts w:ascii="Times New Roman" w:hAnsi="Times New Roman" w:cs="Times New Roman"/>
                <w:sz w:val="24"/>
                <w:szCs w:val="24"/>
              </w:rPr>
              <w:t>. Piemēram, Civilprocesa likuma 26. panta pirmā daļa noteic, ka prasību pret fizisko personu ceļ tiesā pēc tās deklarētās dzīvesvietas. Savukārt Civilprocesa likuma 28. pants paredz piekritību pēc prasītāja izvēles, tādejādi dodot prasītājam izvēli - celt prasību ne tikai pēc atbildētāja deklarētās dzīvesvietas, bet cita starpā arī pēc savas deklarētās dzīvesvietas. Tā, piemēram, Civilprocesa likuma 28. panta otrā daļa noteic, ka prasību par uzturlīdzekļu piedziņu bērnam vai vecākam vai paternitātes noteikšanu prasītājs var celt arī pēc savas deklarētās dzīvesvietas. Tāpat minētā panta trešā daļa noteic, ka prasību, kas izriet no personiskiem aizskārumiem (Civillikuma 1635., 2347.—2353 .pants), prasītājs var celt arī pēc savas deklarētās dzīvesvietas vai pēc aizskāruma nodarīšanas vietas. Minētā panta piektā daļa noteic, ka prasību par mantas atdošanu vai tās vērtības atlīdzināšanu prasītājs var celt arī pēc savas deklarētās dzīvesvietas. Saskaņā ar minētā panta devīto daļu prasību, kas izriet no darba tiesiskajām attiecībām, prasītājs var celt arī pēc savas deklarētās dzīvesvietas vai darbavietas. Savukārt minētā panta desmitā daļa paredz, ka, ja prasītājam šajā pantā minētajos gadījumos nav deklarētās dzīvesvietas, viņš prasību var celt pēc savas dzīvesvietas.</w:t>
            </w:r>
          </w:p>
          <w:p w14:paraId="2810C2DB" w14:textId="68367A65" w:rsidR="00FB49C9" w:rsidRPr="00C75E5E" w:rsidRDefault="00FB49C9" w:rsidP="00FB49C9">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r>
            <w:r w:rsidR="00384A96" w:rsidRPr="00C75E5E">
              <w:rPr>
                <w:rFonts w:ascii="Times New Roman" w:hAnsi="Times New Roman" w:cs="Times New Roman"/>
                <w:sz w:val="24"/>
                <w:szCs w:val="24"/>
              </w:rPr>
              <w:t>A</w:t>
            </w:r>
            <w:r w:rsidRPr="00C75E5E">
              <w:rPr>
                <w:rFonts w:ascii="Times New Roman" w:hAnsi="Times New Roman" w:cs="Times New Roman"/>
                <w:sz w:val="24"/>
                <w:szCs w:val="24"/>
              </w:rPr>
              <w:t xml:space="preserve">r 2012. gada 29. novembra grozījumiem Civilprocesa likumā, kas stājās spēkā 2013. gada 1. janvārī civilprocesā tika noteikts, ka </w:t>
            </w:r>
            <w:r w:rsidRPr="00C75E5E">
              <w:rPr>
                <w:rFonts w:ascii="Times New Roman" w:hAnsi="Times New Roman" w:cs="Times New Roman"/>
                <w:b/>
                <w:bCs/>
                <w:sz w:val="24"/>
                <w:szCs w:val="24"/>
              </w:rPr>
              <w:t>civilstrīdi ar fizisku personu piedalīšanos piekritības noteikšanai</w:t>
            </w:r>
            <w:r w:rsidRPr="00C75E5E">
              <w:rPr>
                <w:rFonts w:ascii="Times New Roman" w:hAnsi="Times New Roman" w:cs="Times New Roman"/>
                <w:sz w:val="24"/>
                <w:szCs w:val="24"/>
              </w:rPr>
              <w:t xml:space="preserve"> prioritāra ir nevis fiziskas personas dzīvesvieta vispār, bet deklarētā dzīvesvieta. Atbilstoši tam arī tad, ja prasību ceļ pēc prasītāja izvēles, piekritību primāri noteic pēc prasītāja vai atbildētāja deklarētās dzīvesvietas. Tas tika pamatots ar to, ka Civilprocesa </w:t>
            </w:r>
            <w:proofErr w:type="spellStart"/>
            <w:r w:rsidRPr="00C75E5E">
              <w:rPr>
                <w:rFonts w:ascii="Times New Roman" w:hAnsi="Times New Roman" w:cs="Times New Roman"/>
                <w:sz w:val="24"/>
                <w:szCs w:val="24"/>
              </w:rPr>
              <w:t>efektivizācijas</w:t>
            </w:r>
            <w:proofErr w:type="spellEnd"/>
            <w:r w:rsidRPr="00C75E5E">
              <w:rPr>
                <w:rFonts w:ascii="Times New Roman" w:hAnsi="Times New Roman" w:cs="Times New Roman"/>
                <w:sz w:val="24"/>
                <w:szCs w:val="24"/>
              </w:rPr>
              <w:t xml:space="preserve"> nolūkos, tai skaitā – lai mazinātu lietu izskatīšanas termiņus, kā arī, lai disciplinētu lietas dalībniekus un nodrošinātu personas sasniedzamības ar valsti pilnvērtīga principa ieviešanu, tika atzīts, ka Civilprocesa likumā ir nepieciešams stiprināt deklarētās dzīvesvietas nozīmi, proti, paredzēt deklarēto dzīvesvietu kā jurisdikcijas pamatu un to, ka, ja tiesas dokumenti tiek sūtīti uz deklarēto dzīvesvietu, tad tie ir uzskatāmi par izsniegtiem.</w:t>
            </w:r>
            <w:r w:rsidRPr="00C75E5E">
              <w:rPr>
                <w:rStyle w:val="FootnoteReference"/>
                <w:rFonts w:ascii="Times New Roman" w:hAnsi="Times New Roman" w:cs="Times New Roman"/>
                <w:sz w:val="24"/>
                <w:szCs w:val="24"/>
              </w:rPr>
              <w:footnoteReference w:id="1"/>
            </w:r>
          </w:p>
          <w:p w14:paraId="126DF2EE" w14:textId="77777777" w:rsidR="00384A96" w:rsidRPr="00C75E5E" w:rsidRDefault="00384A96" w:rsidP="00FB49C9">
            <w:pPr>
              <w:tabs>
                <w:tab w:val="left" w:pos="720"/>
              </w:tabs>
              <w:jc w:val="both"/>
              <w:rPr>
                <w:rFonts w:ascii="Times New Roman" w:hAnsi="Times New Roman" w:cs="Times New Roman"/>
                <w:sz w:val="24"/>
                <w:szCs w:val="24"/>
              </w:rPr>
            </w:pPr>
          </w:p>
          <w:p w14:paraId="26101FC8" w14:textId="77777777" w:rsidR="00FB49C9" w:rsidRPr="00C75E5E" w:rsidRDefault="00FB49C9" w:rsidP="00FB49C9">
            <w:pPr>
              <w:tabs>
                <w:tab w:val="left" w:pos="720"/>
              </w:tabs>
              <w:jc w:val="both"/>
              <w:rPr>
                <w:rFonts w:ascii="Times New Roman" w:hAnsi="Times New Roman" w:cs="Times New Roman"/>
                <w:sz w:val="4"/>
                <w:szCs w:val="4"/>
              </w:rPr>
            </w:pPr>
          </w:p>
          <w:p w14:paraId="5BAD326F" w14:textId="77777777" w:rsidR="00FB49C9" w:rsidRPr="00C75E5E" w:rsidRDefault="00FB49C9" w:rsidP="00171A3A">
            <w:pPr>
              <w:tabs>
                <w:tab w:val="left" w:pos="720"/>
              </w:tabs>
              <w:jc w:val="both"/>
              <w:rPr>
                <w:rFonts w:ascii="Times New Roman" w:hAnsi="Times New Roman" w:cs="Times New Roman"/>
                <w:sz w:val="24"/>
                <w:szCs w:val="24"/>
              </w:rPr>
            </w:pPr>
            <w:r w:rsidRPr="00C75E5E">
              <w:rPr>
                <w:rFonts w:ascii="Times New Roman" w:hAnsi="Times New Roman" w:cs="Times New Roman"/>
                <w:sz w:val="24"/>
                <w:szCs w:val="24"/>
              </w:rPr>
              <w:tab/>
            </w:r>
            <w:r w:rsidR="00171A3A" w:rsidRPr="00C75E5E">
              <w:rPr>
                <w:rFonts w:ascii="Times New Roman" w:hAnsi="Times New Roman" w:cs="Times New Roman"/>
                <w:sz w:val="24"/>
                <w:szCs w:val="24"/>
              </w:rPr>
              <w:t>A</w:t>
            </w:r>
            <w:r w:rsidRPr="00C75E5E">
              <w:rPr>
                <w:rFonts w:ascii="Times New Roman" w:hAnsi="Times New Roman" w:cs="Times New Roman"/>
                <w:sz w:val="24"/>
                <w:szCs w:val="24"/>
              </w:rPr>
              <w:t>tbilstoši</w:t>
            </w:r>
            <w:r w:rsidR="00171A3A" w:rsidRPr="00C75E5E">
              <w:rPr>
                <w:rFonts w:ascii="Times New Roman" w:hAnsi="Times New Roman" w:cs="Times New Roman"/>
                <w:sz w:val="24"/>
                <w:szCs w:val="24"/>
              </w:rPr>
              <w:t xml:space="preserve"> </w:t>
            </w:r>
            <w:r w:rsidRPr="00C75E5E">
              <w:rPr>
                <w:rFonts w:ascii="Times New Roman" w:hAnsi="Times New Roman" w:cs="Times New Roman"/>
                <w:sz w:val="24"/>
                <w:szCs w:val="24"/>
              </w:rPr>
              <w:t>Dzīvesvietas deklarēšanas likuma</w:t>
            </w:r>
            <w:r w:rsidR="00171A3A" w:rsidRPr="00C75E5E">
              <w:rPr>
                <w:rFonts w:ascii="Times New Roman" w:hAnsi="Times New Roman" w:cs="Times New Roman"/>
                <w:sz w:val="24"/>
                <w:szCs w:val="24"/>
              </w:rPr>
              <w:t xml:space="preserve"> </w:t>
            </w:r>
            <w:r w:rsidRPr="00C75E5E">
              <w:rPr>
                <w:rFonts w:ascii="Times New Roman" w:hAnsi="Times New Roman" w:cs="Times New Roman"/>
                <w:sz w:val="24"/>
                <w:szCs w:val="24"/>
              </w:rPr>
              <w:t>6. pantam</w:t>
            </w:r>
            <w:r w:rsidR="00171A3A" w:rsidRPr="00C75E5E">
              <w:rPr>
                <w:rFonts w:ascii="Times New Roman" w:hAnsi="Times New Roman" w:cs="Times New Roman"/>
                <w:sz w:val="24"/>
                <w:szCs w:val="24"/>
              </w:rPr>
              <w:t xml:space="preserve"> </w:t>
            </w:r>
            <w:r w:rsidRPr="00C75E5E">
              <w:rPr>
                <w:rFonts w:ascii="Times New Roman" w:hAnsi="Times New Roman" w:cs="Times New Roman"/>
                <w:sz w:val="24"/>
                <w:szCs w:val="24"/>
              </w:rPr>
              <w:t>ikvienai personai, kurai ir Latvijas valstiskā piederība, ir pienākums deklarēt savu dzīvesvietu. No šā likuma 3.</w:t>
            </w:r>
            <w:r w:rsidR="00171A3A" w:rsidRPr="00C75E5E">
              <w:rPr>
                <w:rFonts w:ascii="Times New Roman" w:hAnsi="Times New Roman" w:cs="Times New Roman"/>
                <w:sz w:val="24"/>
                <w:szCs w:val="24"/>
              </w:rPr>
              <w:t> </w:t>
            </w:r>
            <w:r w:rsidRPr="00C75E5E">
              <w:rPr>
                <w:rFonts w:ascii="Times New Roman" w:hAnsi="Times New Roman" w:cs="Times New Roman"/>
                <w:sz w:val="24"/>
                <w:szCs w:val="24"/>
              </w:rPr>
              <w:t xml:space="preserve">panta pirmās daļas izriet prezumpcija, </w:t>
            </w:r>
            <w:r w:rsidRPr="00C75E5E">
              <w:rPr>
                <w:rFonts w:ascii="Times New Roman" w:hAnsi="Times New Roman" w:cs="Times New Roman"/>
                <w:sz w:val="24"/>
                <w:szCs w:val="24"/>
                <w:u w:val="single"/>
              </w:rPr>
              <w:t xml:space="preserve">ka persona deklarētajā dzīvesvietā arī dzīvo. </w:t>
            </w:r>
            <w:r w:rsidRPr="00C75E5E">
              <w:rPr>
                <w:rFonts w:ascii="Times New Roman" w:hAnsi="Times New Roman" w:cs="Times New Roman"/>
                <w:sz w:val="24"/>
                <w:szCs w:val="24"/>
              </w:rPr>
              <w:t>Dzīvesvietas deklarēšanas jēga atbilstoši minētajai tiesību normai ir nodrošināt, lai valstij būtu zināma adrese, kurā persona ir sasniedzama tiesiskajās attiecībās ar valsti un pašvaldību (</w:t>
            </w:r>
            <w:r w:rsidRPr="00C75E5E">
              <w:rPr>
                <w:rFonts w:ascii="Times New Roman" w:hAnsi="Times New Roman" w:cs="Times New Roman"/>
                <w:i/>
                <w:iCs/>
                <w:sz w:val="24"/>
                <w:szCs w:val="24"/>
              </w:rPr>
              <w:t>sk. Latvijas Republikas Satversmes tiesas 2018.</w:t>
            </w:r>
            <w:r w:rsidR="00171A3A" w:rsidRPr="00C75E5E">
              <w:rPr>
                <w:rFonts w:ascii="Times New Roman" w:hAnsi="Times New Roman" w:cs="Times New Roman"/>
                <w:i/>
                <w:iCs/>
                <w:sz w:val="24"/>
                <w:szCs w:val="24"/>
              </w:rPr>
              <w:t> </w:t>
            </w:r>
            <w:r w:rsidRPr="00C75E5E">
              <w:rPr>
                <w:rFonts w:ascii="Times New Roman" w:hAnsi="Times New Roman" w:cs="Times New Roman"/>
                <w:i/>
                <w:iCs/>
                <w:sz w:val="24"/>
                <w:szCs w:val="24"/>
              </w:rPr>
              <w:t>gada 11.</w:t>
            </w:r>
            <w:r w:rsidR="00171A3A" w:rsidRPr="00C75E5E">
              <w:rPr>
                <w:rFonts w:ascii="Times New Roman" w:hAnsi="Times New Roman" w:cs="Times New Roman"/>
                <w:i/>
                <w:iCs/>
                <w:sz w:val="24"/>
                <w:szCs w:val="24"/>
              </w:rPr>
              <w:t> </w:t>
            </w:r>
            <w:r w:rsidRPr="00C75E5E">
              <w:rPr>
                <w:rFonts w:ascii="Times New Roman" w:hAnsi="Times New Roman" w:cs="Times New Roman"/>
                <w:i/>
                <w:iCs/>
                <w:sz w:val="24"/>
                <w:szCs w:val="24"/>
              </w:rPr>
              <w:t>oktobra spriedumā lietā secinājumu daļas 17.1.</w:t>
            </w:r>
            <w:r w:rsidR="00171A3A" w:rsidRPr="00C75E5E">
              <w:rPr>
                <w:rFonts w:ascii="Times New Roman" w:hAnsi="Times New Roman" w:cs="Times New Roman"/>
                <w:i/>
                <w:iCs/>
                <w:sz w:val="24"/>
                <w:szCs w:val="24"/>
              </w:rPr>
              <w:t> </w:t>
            </w:r>
            <w:r w:rsidRPr="00C75E5E">
              <w:rPr>
                <w:rFonts w:ascii="Times New Roman" w:hAnsi="Times New Roman" w:cs="Times New Roman"/>
                <w:i/>
                <w:iCs/>
                <w:sz w:val="24"/>
                <w:szCs w:val="24"/>
              </w:rPr>
              <w:t>punkts</w:t>
            </w:r>
            <w:r w:rsidRPr="00C75E5E">
              <w:rPr>
                <w:rFonts w:ascii="Times New Roman" w:hAnsi="Times New Roman" w:cs="Times New Roman"/>
                <w:sz w:val="24"/>
                <w:szCs w:val="24"/>
              </w:rPr>
              <w:t xml:space="preserve">). </w:t>
            </w:r>
            <w:r w:rsidR="00171A3A" w:rsidRPr="00C75E5E">
              <w:rPr>
                <w:rFonts w:ascii="Times New Roman" w:hAnsi="Times New Roman" w:cs="Times New Roman"/>
                <w:sz w:val="24"/>
                <w:szCs w:val="24"/>
                <w:u w:val="single"/>
              </w:rPr>
              <w:t>TM</w:t>
            </w:r>
            <w:r w:rsidRPr="00C75E5E">
              <w:rPr>
                <w:rFonts w:ascii="Times New Roman" w:hAnsi="Times New Roman" w:cs="Times New Roman"/>
                <w:sz w:val="24"/>
                <w:szCs w:val="24"/>
                <w:u w:val="single"/>
              </w:rPr>
              <w:t xml:space="preserve"> ieskatā tās kompetencē esošajos normatīvajos aktos deklarētās dzīves vietas fakta izmantošana atbilst tās mērķim</w:t>
            </w:r>
            <w:r w:rsidRPr="00C75E5E">
              <w:rPr>
                <w:rFonts w:ascii="Times New Roman" w:hAnsi="Times New Roman" w:cs="Times New Roman"/>
                <w:sz w:val="24"/>
                <w:szCs w:val="24"/>
              </w:rPr>
              <w:t xml:space="preserve">. </w:t>
            </w:r>
          </w:p>
          <w:p w14:paraId="49988FD0" w14:textId="7B3D6E4C" w:rsidR="00384A96" w:rsidRPr="00C75E5E" w:rsidRDefault="00384A96" w:rsidP="00171A3A">
            <w:pPr>
              <w:tabs>
                <w:tab w:val="left" w:pos="720"/>
              </w:tabs>
              <w:jc w:val="both"/>
              <w:rPr>
                <w:rFonts w:ascii="Times New Roman" w:hAnsi="Times New Roman" w:cs="Times New Roman"/>
                <w:sz w:val="24"/>
                <w:szCs w:val="24"/>
              </w:rPr>
            </w:pPr>
          </w:p>
        </w:tc>
      </w:tr>
      <w:tr w:rsidR="00FB49C9" w:rsidRPr="00C75E5E" w14:paraId="445EEC19" w14:textId="77777777" w:rsidTr="00171A3A">
        <w:tc>
          <w:tcPr>
            <w:tcW w:w="2263" w:type="dxa"/>
          </w:tcPr>
          <w:p w14:paraId="1C5BEE4D" w14:textId="2B394988" w:rsidR="00FB49C9" w:rsidRPr="00C75E5E" w:rsidRDefault="00171A3A" w:rsidP="00FB49C9">
            <w:pPr>
              <w:jc w:val="both"/>
              <w:rPr>
                <w:rFonts w:ascii="Times New Roman" w:hAnsi="Times New Roman" w:cs="Times New Roman"/>
                <w:b/>
                <w:bCs/>
                <w:sz w:val="24"/>
                <w:szCs w:val="24"/>
              </w:rPr>
            </w:pPr>
            <w:r w:rsidRPr="00C75E5E">
              <w:rPr>
                <w:rFonts w:ascii="Times New Roman" w:hAnsi="Times New Roman" w:cs="Times New Roman"/>
                <w:i/>
                <w:iCs/>
                <w:sz w:val="24"/>
                <w:szCs w:val="24"/>
              </w:rPr>
              <w:lastRenderedPageBreak/>
              <w:t>TM</w:t>
            </w:r>
            <w:r w:rsidR="00FB49C9" w:rsidRPr="00C75E5E">
              <w:rPr>
                <w:rFonts w:ascii="Times New Roman" w:hAnsi="Times New Roman" w:cs="Times New Roman"/>
                <w:i/>
                <w:iCs/>
                <w:sz w:val="24"/>
                <w:szCs w:val="24"/>
              </w:rPr>
              <w:t xml:space="preserve"> padotības vai pārraudzības iestādes:</w:t>
            </w:r>
            <w:r w:rsidR="00FB49C9" w:rsidRPr="00C75E5E">
              <w:rPr>
                <w:rFonts w:ascii="Times New Roman" w:hAnsi="Times New Roman" w:cs="Times New Roman"/>
                <w:sz w:val="24"/>
                <w:szCs w:val="24"/>
              </w:rPr>
              <w:t xml:space="preserve"> </w:t>
            </w:r>
            <w:r w:rsidR="00FB49C9" w:rsidRPr="00C75E5E">
              <w:rPr>
                <w:rFonts w:ascii="Times New Roman" w:hAnsi="Times New Roman" w:cs="Times New Roman"/>
                <w:b/>
                <w:bCs/>
                <w:sz w:val="24"/>
                <w:szCs w:val="24"/>
              </w:rPr>
              <w:t xml:space="preserve">Ieslodzījuma vietu </w:t>
            </w:r>
            <w:r w:rsidR="00FB49C9" w:rsidRPr="00C75E5E">
              <w:rPr>
                <w:rFonts w:ascii="Times New Roman" w:hAnsi="Times New Roman" w:cs="Times New Roman"/>
                <w:b/>
                <w:bCs/>
                <w:sz w:val="24"/>
                <w:szCs w:val="24"/>
              </w:rPr>
              <w:lastRenderedPageBreak/>
              <w:t xml:space="preserve">pārvalde, </w:t>
            </w:r>
            <w:r w:rsidRPr="00C75E5E">
              <w:rPr>
                <w:rFonts w:ascii="Times New Roman" w:hAnsi="Times New Roman" w:cs="Times New Roman"/>
                <w:b/>
                <w:bCs/>
                <w:sz w:val="24"/>
                <w:szCs w:val="24"/>
              </w:rPr>
              <w:t>LR</w:t>
            </w:r>
            <w:r w:rsidR="00FB49C9" w:rsidRPr="00C75E5E">
              <w:rPr>
                <w:rFonts w:ascii="Times New Roman" w:hAnsi="Times New Roman" w:cs="Times New Roman"/>
                <w:b/>
                <w:bCs/>
                <w:sz w:val="24"/>
                <w:szCs w:val="24"/>
              </w:rPr>
              <w:t xml:space="preserve"> Uzņēmumu reģistrs, Maksātnespējas kontroles dienests, Patentu valde, Valsts valodu centrs, Valsts zemes dienest</w:t>
            </w:r>
            <w:r w:rsidRPr="00C75E5E">
              <w:rPr>
                <w:rFonts w:ascii="Times New Roman" w:hAnsi="Times New Roman" w:cs="Times New Roman"/>
                <w:b/>
                <w:bCs/>
                <w:sz w:val="24"/>
                <w:szCs w:val="24"/>
              </w:rPr>
              <w:t>s</w:t>
            </w:r>
            <w:r w:rsidR="00FB49C9" w:rsidRPr="00C75E5E">
              <w:rPr>
                <w:rFonts w:ascii="Times New Roman" w:hAnsi="Times New Roman" w:cs="Times New Roman"/>
                <w:b/>
                <w:bCs/>
                <w:sz w:val="24"/>
                <w:szCs w:val="24"/>
              </w:rPr>
              <w:t>, Datu valsts inspekcija un Valsts tiesu ekspertīžu biroj</w:t>
            </w:r>
            <w:r w:rsidRPr="00C75E5E">
              <w:rPr>
                <w:rFonts w:ascii="Times New Roman" w:hAnsi="Times New Roman" w:cs="Times New Roman"/>
                <w:b/>
                <w:bCs/>
                <w:sz w:val="24"/>
                <w:szCs w:val="24"/>
              </w:rPr>
              <w:t>s</w:t>
            </w:r>
          </w:p>
        </w:tc>
        <w:tc>
          <w:tcPr>
            <w:tcW w:w="11685" w:type="dxa"/>
          </w:tcPr>
          <w:p w14:paraId="0847DAEA" w14:textId="77777777" w:rsidR="00171A3A" w:rsidRPr="00C75E5E" w:rsidRDefault="00171A3A" w:rsidP="00FB49C9">
            <w:pPr>
              <w:jc w:val="both"/>
              <w:rPr>
                <w:rFonts w:ascii="Times New Roman" w:hAnsi="Times New Roman" w:cs="Times New Roman"/>
                <w:sz w:val="24"/>
                <w:szCs w:val="24"/>
              </w:rPr>
            </w:pPr>
            <w:r w:rsidRPr="00C75E5E">
              <w:rPr>
                <w:rFonts w:ascii="Times New Roman" w:hAnsi="Times New Roman" w:cs="Times New Roman"/>
                <w:sz w:val="24"/>
                <w:szCs w:val="24"/>
              </w:rPr>
              <w:lastRenderedPageBreak/>
              <w:t xml:space="preserve">Sniegušas viedokli, ka šo iestāžu kompetencē nav tādu pakalpojumu sniegšana, kas sasaistīta ar personas deklarētās dzīves vietas faktu. </w:t>
            </w:r>
          </w:p>
          <w:p w14:paraId="0DD1CAD4" w14:textId="431B458C" w:rsidR="00FB49C9" w:rsidRPr="00C75E5E" w:rsidRDefault="00171A3A" w:rsidP="00FB49C9">
            <w:pPr>
              <w:jc w:val="both"/>
              <w:rPr>
                <w:rFonts w:ascii="Times New Roman" w:hAnsi="Times New Roman" w:cs="Times New Roman"/>
                <w:sz w:val="24"/>
                <w:szCs w:val="24"/>
              </w:rPr>
            </w:pPr>
            <w:r w:rsidRPr="00C75E5E">
              <w:rPr>
                <w:rFonts w:ascii="Times New Roman" w:hAnsi="Times New Roman" w:cs="Times New Roman"/>
                <w:sz w:val="24"/>
                <w:szCs w:val="24"/>
              </w:rPr>
              <w:t>Personas deklarētās dzīves vietas fakts minēto iestāžu darbībā tiek izmantots tikai komunikācijas kanālam.</w:t>
            </w:r>
          </w:p>
        </w:tc>
      </w:tr>
      <w:tr w:rsidR="00FB49C9" w:rsidRPr="00C75E5E" w14:paraId="4BA18FB6" w14:textId="77777777" w:rsidTr="00171A3A">
        <w:tc>
          <w:tcPr>
            <w:tcW w:w="2263" w:type="dxa"/>
          </w:tcPr>
          <w:p w14:paraId="0894670F" w14:textId="3ACE79E1" w:rsidR="00FB49C9" w:rsidRPr="00C75E5E" w:rsidRDefault="00171A3A" w:rsidP="00FB49C9">
            <w:pPr>
              <w:jc w:val="both"/>
              <w:rPr>
                <w:rFonts w:ascii="Times New Roman" w:hAnsi="Times New Roman" w:cs="Times New Roman"/>
                <w:b/>
                <w:bCs/>
                <w:sz w:val="24"/>
                <w:szCs w:val="24"/>
              </w:rPr>
            </w:pPr>
            <w:r w:rsidRPr="00C75E5E">
              <w:rPr>
                <w:rFonts w:ascii="Times New Roman" w:hAnsi="Times New Roman" w:cs="Times New Roman"/>
                <w:b/>
                <w:bCs/>
                <w:sz w:val="24"/>
                <w:szCs w:val="24"/>
              </w:rPr>
              <w:t xml:space="preserve">Labklājības ministrija </w:t>
            </w:r>
          </w:p>
        </w:tc>
        <w:tc>
          <w:tcPr>
            <w:tcW w:w="11685" w:type="dxa"/>
          </w:tcPr>
          <w:p w14:paraId="4F5FB2F7" w14:textId="77777777" w:rsidR="00171A3A" w:rsidRPr="00C75E5E" w:rsidRDefault="00171A3A" w:rsidP="00171A3A">
            <w:pPr>
              <w:pStyle w:val="NoSpacing"/>
              <w:ind w:firstLine="720"/>
              <w:rPr>
                <w:sz w:val="24"/>
                <w:szCs w:val="24"/>
                <w:u w:val="single"/>
                <w:lang w:val="lv-LV"/>
              </w:rPr>
            </w:pPr>
            <w:r w:rsidRPr="00C75E5E">
              <w:rPr>
                <w:sz w:val="24"/>
                <w:szCs w:val="24"/>
                <w:lang w:val="lv-LV"/>
              </w:rPr>
              <w:t xml:space="preserve">Lielākā daļa sociālās aizsardzības un darba tirgus politikas ietvaros nodrošināto pakalpojumu un atbalsta veidu tiek sniegti iedzīvotājiem neatkarīgi no to deklarētās dzīvesvietas. Piemēram, valsts sociālās apdrošināšanas pakalpojumu un valsts sociālo pabalstu pieprasīšanas un izmaksas gadījumā deklarētajai dzīvesvietai nav izšķirošas nozīmes, bet ir jāizpildās citiem noteiktiem kritērijiem, piemēram, jābūt veiktām valsts sociālās apdrošināšanas obligātajām iemaksām Latvijā noteiktā periodā, personai ir jābūt noteiktai invaliditātei, personas apgādībā ir jābūt nepilngadīgiem bērniem u.tml. Tāpat virkne pakalpojumu, piemēram, aktīvās darba tirgus politikas pasākumi bezdarbniekiem un darba meklētājiem, tehniskie palīglīdzekļi personām ar invaliditāti, ir pieejami iedzīvotājiem neatkarīgi no to deklarētās dzīvesvietas. </w:t>
            </w:r>
            <w:r w:rsidRPr="00C75E5E">
              <w:rPr>
                <w:sz w:val="24"/>
                <w:szCs w:val="24"/>
                <w:u w:val="single"/>
                <w:lang w:val="lv-LV"/>
              </w:rPr>
              <w:t>Dzīvesvietas deklarēšanai nav būtiskas nozīme</w:t>
            </w:r>
            <w:r w:rsidRPr="00C75E5E">
              <w:rPr>
                <w:sz w:val="24"/>
                <w:szCs w:val="24"/>
                <w:lang w:val="lv-LV"/>
              </w:rPr>
              <w:t xml:space="preserve"> tajos gadījumos, </w:t>
            </w:r>
            <w:r w:rsidRPr="00C75E5E">
              <w:rPr>
                <w:sz w:val="24"/>
                <w:szCs w:val="24"/>
                <w:u w:val="single"/>
                <w:lang w:val="lv-LV"/>
              </w:rPr>
              <w:t>kad pakalpojums tiek finansēts no valsts budžeta līdzekļiem vai pakalpojumu nodrošina/ administrē valsts budžeta finansēta iestāde.</w:t>
            </w:r>
          </w:p>
          <w:p w14:paraId="25617B82" w14:textId="28DC6565" w:rsidR="00171A3A" w:rsidRPr="00C75E5E" w:rsidRDefault="00171A3A" w:rsidP="00171A3A">
            <w:pPr>
              <w:pStyle w:val="NoSpacing"/>
              <w:ind w:firstLine="720"/>
              <w:rPr>
                <w:sz w:val="24"/>
                <w:szCs w:val="24"/>
                <w:lang w:val="lv-LV"/>
              </w:rPr>
            </w:pPr>
            <w:r w:rsidRPr="00C75E5E">
              <w:rPr>
                <w:sz w:val="24"/>
                <w:szCs w:val="24"/>
                <w:lang w:val="lv-LV"/>
              </w:rPr>
              <w:t xml:space="preserve">Savukārt </w:t>
            </w:r>
            <w:r w:rsidRPr="00C75E5E">
              <w:rPr>
                <w:b/>
                <w:bCs/>
                <w:sz w:val="24"/>
                <w:szCs w:val="24"/>
                <w:lang w:val="lv-LV"/>
              </w:rPr>
              <w:t>pašvaldību sociālo pakalpojumu un sociālās palīdzības sniegšanā</w:t>
            </w:r>
            <w:r w:rsidRPr="00C75E5E">
              <w:rPr>
                <w:sz w:val="24"/>
                <w:szCs w:val="24"/>
                <w:lang w:val="lv-LV"/>
              </w:rPr>
              <w:t xml:space="preserve"> deklarētajai dzīvesvietai kā nosacījumam attiecīgā pakalpojuma / atbalsta saņemšanai ir būtiska nozīme un šāda prasība ir noteikta normatīvajā regulējumā. Sociālo pakalpojumu un sociālās palīdzības sniegšana Pašvaldību likuma 4. panta pirmās daļas 9. punktā</w:t>
            </w:r>
            <w:r w:rsidRPr="00C75E5E">
              <w:rPr>
                <w:sz w:val="24"/>
                <w:szCs w:val="24"/>
                <w:vertAlign w:val="superscript"/>
                <w:lang w:val="lv-LV"/>
              </w:rPr>
              <w:footnoteReference w:id="2"/>
            </w:r>
            <w:r w:rsidRPr="00C75E5E">
              <w:rPr>
                <w:sz w:val="24"/>
                <w:szCs w:val="24"/>
                <w:lang w:val="lv-LV"/>
              </w:rPr>
              <w:t xml:space="preserve"> ir definēta kā viena no pašvaldības autonomajām funkcijām. Savukārt saskaņā ar Sociālo pakalpojumu un sociālas palīdzības likuma (turpmāk – SPSPL) 9. panta pirmo daļu pienākums nodrošināt sociālos pakalpojumus un sociālo palīdzību ir piekritīgs pašvaldībai, kuras teritorijā ir deklarēta personas dzīvesvieta</w:t>
            </w:r>
            <w:r w:rsidRPr="00C75E5E">
              <w:rPr>
                <w:sz w:val="24"/>
                <w:szCs w:val="24"/>
                <w:vertAlign w:val="superscript"/>
                <w:lang w:val="lv-LV"/>
              </w:rPr>
              <w:footnoteReference w:id="3"/>
            </w:r>
            <w:r w:rsidRPr="00C75E5E">
              <w:rPr>
                <w:sz w:val="24"/>
                <w:szCs w:val="24"/>
                <w:lang w:val="lv-LV"/>
              </w:rPr>
              <w:t xml:space="preserve">. Tāpat kā viens no sociālo pakalpojumu un sociālās palīdzības sniegšanas pamatprincipiem ir noteikts personas individuālo vajadzību un resursu novērtējums (attiecīgi SPSPL 4. panta pirmā daļa un 5 .panta pirmā daļa), kas cita starpā nosaka pienākumu klientam atļaut sociālā darba speciālistiem veikt </w:t>
            </w:r>
            <w:proofErr w:type="spellStart"/>
            <w:r w:rsidRPr="00C75E5E">
              <w:rPr>
                <w:sz w:val="24"/>
                <w:szCs w:val="24"/>
                <w:lang w:val="lv-LV"/>
              </w:rPr>
              <w:t>apsekojumu</w:t>
            </w:r>
            <w:proofErr w:type="spellEnd"/>
            <w:r w:rsidRPr="00C75E5E">
              <w:rPr>
                <w:sz w:val="24"/>
                <w:szCs w:val="24"/>
                <w:lang w:val="lv-LV"/>
              </w:rPr>
              <w:t xml:space="preserve"> personas dzīvesvietā (SPSPL 7. panta sestais apakšpunkts). Proti, šī </w:t>
            </w:r>
            <w:r w:rsidRPr="00C75E5E">
              <w:rPr>
                <w:sz w:val="24"/>
                <w:szCs w:val="24"/>
                <w:lang w:val="lv-LV"/>
              </w:rPr>
              <w:lastRenderedPageBreak/>
              <w:t>prasība ir tiešā veidā saistīta ar dzīvesvietas deklarēšanas sākotnējo mērķi – nodrošināt personas sasniedzamību attiecībās ar valsti (pašvaldību), kas veidojas, personai pieprasot attiecīgo pakalpojumu vai palīdzību.</w:t>
            </w:r>
          </w:p>
          <w:p w14:paraId="27CBF289" w14:textId="77777777" w:rsidR="00171A3A" w:rsidRPr="00C75E5E" w:rsidRDefault="00171A3A" w:rsidP="00171A3A">
            <w:pPr>
              <w:pStyle w:val="NoSpacing"/>
              <w:ind w:firstLine="720"/>
              <w:rPr>
                <w:sz w:val="24"/>
                <w:szCs w:val="24"/>
                <w:lang w:val="lv-LV"/>
              </w:rPr>
            </w:pPr>
            <w:r w:rsidRPr="00C75E5E">
              <w:rPr>
                <w:sz w:val="24"/>
                <w:szCs w:val="24"/>
                <w:lang w:val="lv-LV"/>
              </w:rPr>
              <w:t xml:space="preserve">Labklājības ministrija uzskata, ka </w:t>
            </w:r>
            <w:r w:rsidRPr="00C75E5E">
              <w:rPr>
                <w:sz w:val="24"/>
                <w:szCs w:val="24"/>
                <w:u w:val="single"/>
                <w:lang w:val="lv-LV"/>
              </w:rPr>
              <w:t>pašvaldības sociālo pakalpojumu un sociālās palīdzības nodrošināšanai pēc personas deklarētās dzīvesvietas ir saprātīgs pamats arī no šī atbalsta finansēšanas viedokļa, jo iedzīvotāju ienākuma nodokļa iemaksas nonāk tās pašvaldības budžetā, kurā ir deklarēta personas dzīvesvieta</w:t>
            </w:r>
            <w:r w:rsidRPr="00C75E5E">
              <w:rPr>
                <w:sz w:val="24"/>
                <w:szCs w:val="24"/>
                <w:lang w:val="lv-LV"/>
              </w:rPr>
              <w:t>. Attiecīgi no iedzīvotāju ienākumu nodokļa tiek finansēta pašvaldību funkciju nodrošināšana. Tādējādi, ja tiktu mainīts princips, ka sociālie pakalpojumi un sociālā palīdzība tiek nodrošināta neatkarīgi no personas deklarētās dzīvesvietas fakta, var veidoties situācija, ka iedzīvotāji, kuri nav nodarbināti, neveic iedzīvotāju ienākuma nodokļa iemaksas, piesakās sociālajiem pakalpojumiem un sociālajiem pabalstiem tajās pašvaldībās, kurās ir plašākas iespējas tos saņemt, neņemot vērā to, ka reāli šajās pašvaldībās nemaz nedzīvo.</w:t>
            </w:r>
          </w:p>
          <w:p w14:paraId="5624301C" w14:textId="77777777" w:rsidR="00171A3A" w:rsidRPr="00C75E5E" w:rsidRDefault="00171A3A" w:rsidP="00171A3A">
            <w:pPr>
              <w:pStyle w:val="NoSpacing"/>
              <w:ind w:firstLine="720"/>
              <w:rPr>
                <w:sz w:val="24"/>
                <w:szCs w:val="24"/>
                <w:lang w:val="lv-LV"/>
              </w:rPr>
            </w:pPr>
            <w:r w:rsidRPr="00C75E5E">
              <w:rPr>
                <w:sz w:val="24"/>
                <w:szCs w:val="24"/>
                <w:lang w:val="lv-LV"/>
              </w:rPr>
              <w:t>Pašvaldības nodrošināto sociālo pakalpojumu un sociālās palīdzības administrēšanu veic pašvaldības iestāde – sociālais dienests. Katra pašvaldība ir izveidojusi un uztur savu sociālās palīdzības un sociālo pakalpojumu administrēšanas informatīvo sistēmu (SOPA), kas pieejama tikai attiecīgās pašvaldības sociālā dienesta darbiniekiem. Valstī nav vienotas informācijas sistēmas, kas sniegtu informāciju par visiem personai piešķirtajiem sociālajiem pakalpojumiem un sociālo palīdzību vienā vai otrā pašvaldībā. Tādējādi, ja persona maina dzīvesvietu uz citu pašvaldību, jaunajai dzīvesvietas pašvaldībai nav informācijas par personai sniegto atbalstu iepriekšējā dzīvesvietā un pakalpojumu pēctecību. Nepieciešamības gadījumā pašvaldībai ir tiesības pieprasīt un saņemt informāciju no valsts un pašvaldības iestādēm informāciju, kas ir būtiska sociālo pakalpojumu vai sociālās palīdzības piešķiršanai.</w:t>
            </w:r>
          </w:p>
          <w:p w14:paraId="455680CE" w14:textId="36CB1E14" w:rsidR="00171A3A" w:rsidRPr="00C75E5E" w:rsidRDefault="00171A3A" w:rsidP="00171A3A">
            <w:pPr>
              <w:pStyle w:val="NoSpacing"/>
              <w:ind w:firstLine="720"/>
              <w:rPr>
                <w:sz w:val="24"/>
                <w:szCs w:val="24"/>
                <w:lang w:val="lv-LV"/>
              </w:rPr>
            </w:pPr>
            <w:r w:rsidRPr="00C75E5E">
              <w:rPr>
                <w:sz w:val="24"/>
                <w:szCs w:val="24"/>
                <w:lang w:val="lv-LV"/>
              </w:rPr>
              <w:t>Saskaņā ar Sociālo pakalpojumu un sociālās palīdzības likuma 9.</w:t>
            </w:r>
            <w:r w:rsidR="00176467" w:rsidRPr="00C75E5E">
              <w:rPr>
                <w:sz w:val="24"/>
                <w:szCs w:val="24"/>
                <w:lang w:val="lv-LV"/>
              </w:rPr>
              <w:t> </w:t>
            </w:r>
            <w:r w:rsidRPr="00C75E5E">
              <w:rPr>
                <w:sz w:val="24"/>
                <w:szCs w:val="24"/>
                <w:lang w:val="lv-LV"/>
              </w:rPr>
              <w:t>panta ceturto daļu pašvaldības, kuras nav izveidojušas nepieciešamos sociālo pakalpojumu sniedzējus, slēdz līgumus ar citiem sociālo pakalpojumu sniedzējiem savā teritorijā vai ar citām pašvaldībām par minēto sociālo pakalpojumu sniegšanu un samaksu. Saskaņā ar Dzīvesvietas deklarēšanas likuma 3.</w:t>
            </w:r>
            <w:r w:rsidR="00176467" w:rsidRPr="00C75E5E">
              <w:rPr>
                <w:sz w:val="24"/>
                <w:szCs w:val="24"/>
                <w:lang w:val="lv-LV"/>
              </w:rPr>
              <w:t> </w:t>
            </w:r>
            <w:r w:rsidRPr="00C75E5E">
              <w:rPr>
                <w:sz w:val="24"/>
                <w:szCs w:val="24"/>
                <w:lang w:val="lv-LV"/>
              </w:rPr>
              <w:t>panta pirmo daļu dzīvesvieta ir jebkura personas brīvi izraudzīta ar nekustamo īpašumu saistīta vieta (ar adresi), kurā persona labprātīgi apmetusies ar tieši vai klusējot izteiktu nodomu tur dzīvot, kurā dzīvot tai ir tiesisks pamats un kuru šī persona atzīst par vietu, kur tā sasniedzama tiesiskajās attiecībās ar valsti un pašvaldību. Tomēr jāatzīst, ka sociālo pakalpojumu saņemšanas gadījumā (piemēram, ilgstošas sociālās aprūpes un sociālās rehabilitācijas pakalpojumu institūcijā, grupu mājas (dzīvokļa) pakalpojuma gadījumā), kad persona ir pārcēlusies uz citu pašvaldību un deklarējusi tur dzīvesvietu tikai tāpēc, ka savas dzīvesvietas pašvaldībā nav nepieciešamo pakalpojumu vai sociālā atbalsta, var veidoties zināmas grūtības un neskaidrības, ja personai nepieciešami citi pakalpojumi. Turklāt sociālo pakalpojumu saņemšanas vietu nevar uzskatīt par personas brīvi izraudzītu dzīvesvietu (pamats ir lēmums par sociālā pakalpojuma piešķiršanu), pakalpojuma sniedzējs ar klientu slēdz līgumu par sociālā pakalpojuma saņemšanu/sniegšanu, nevis dzīvokļa īres līgumu. Personai ir pamats uzturēties sociālā pakalpojuma saņemšanas vietā (sociālās aprūpes centrā) tikai tik ilgi, kamēr ir spēkā lēmums par piešķirto sociālo pakalpojumu.</w:t>
            </w:r>
          </w:p>
          <w:p w14:paraId="2298487D" w14:textId="77777777" w:rsidR="00171A3A" w:rsidRPr="00C75E5E" w:rsidRDefault="00171A3A" w:rsidP="00171A3A">
            <w:pPr>
              <w:pStyle w:val="NoSpacing"/>
              <w:ind w:firstLine="720"/>
              <w:rPr>
                <w:sz w:val="24"/>
                <w:szCs w:val="24"/>
                <w:lang w:val="lv-LV"/>
              </w:rPr>
            </w:pPr>
            <w:r w:rsidRPr="00C75E5E">
              <w:rPr>
                <w:sz w:val="24"/>
                <w:szCs w:val="24"/>
                <w:lang w:val="lv-LV"/>
              </w:rPr>
              <w:t xml:space="preserve">Ja personai nepieciešami citi sociālie pakalpojumu vai sociālā palīdzība, iesniegums adresējams tai pašvaldībai, kura pieņēmusi lēmumu par sociālā pakalpojuma piešķiršanu un noslēgusi līgumu ar sociālo pakalpojumu sniedzēju par </w:t>
            </w:r>
            <w:r w:rsidRPr="00C75E5E">
              <w:rPr>
                <w:sz w:val="24"/>
                <w:szCs w:val="24"/>
                <w:lang w:val="lv-LV"/>
              </w:rPr>
              <w:lastRenderedPageBreak/>
              <w:t>sociālā pakalpojuma sniegšanu citas pašvaldības administratīvajā teritorijā.</w:t>
            </w:r>
          </w:p>
          <w:p w14:paraId="47219B3B" w14:textId="77777777" w:rsidR="00171A3A" w:rsidRPr="00C75E5E" w:rsidRDefault="00171A3A" w:rsidP="00171A3A">
            <w:pPr>
              <w:pStyle w:val="NoSpacing"/>
              <w:ind w:firstLine="720"/>
              <w:rPr>
                <w:sz w:val="24"/>
                <w:szCs w:val="24"/>
                <w:lang w:val="lv-LV"/>
              </w:rPr>
            </w:pPr>
            <w:r w:rsidRPr="00C75E5E">
              <w:rPr>
                <w:sz w:val="24"/>
                <w:szCs w:val="24"/>
                <w:u w:val="single"/>
                <w:lang w:val="lv-LV"/>
              </w:rPr>
              <w:t>Decentralizētās sociālo pakalpojumu un sociālās palīdzības pabalstu sistēmas ietvarā, lai piešķirtu sociālo pakalpojumu vai sociālo palīdzību, ir nepieciešama personas piesaiste pašvaldībai</w:t>
            </w:r>
            <w:r w:rsidRPr="00C75E5E">
              <w:rPr>
                <w:sz w:val="24"/>
                <w:szCs w:val="24"/>
                <w:lang w:val="lv-LV"/>
              </w:rPr>
              <w:t>, pretējā gadījumā nav iespējams izsekot lēmumu pamatotībai un izslēgt neefektīva vai dubultā finansējuma risku, klientam mainot dzīvesvietu.</w:t>
            </w:r>
          </w:p>
          <w:p w14:paraId="6F4D0CA2" w14:textId="2292EF8F" w:rsidR="00171A3A" w:rsidRPr="00C75E5E" w:rsidRDefault="00176467" w:rsidP="00171A3A">
            <w:pPr>
              <w:pStyle w:val="NoSpacing"/>
              <w:ind w:firstLine="720"/>
              <w:rPr>
                <w:sz w:val="24"/>
                <w:szCs w:val="24"/>
                <w:lang w:val="lv-LV"/>
              </w:rPr>
            </w:pPr>
            <w:r w:rsidRPr="00C75E5E">
              <w:rPr>
                <w:sz w:val="24"/>
                <w:szCs w:val="24"/>
                <w:lang w:val="lv-LV"/>
              </w:rPr>
              <w:t>A</w:t>
            </w:r>
            <w:r w:rsidR="00171A3A" w:rsidRPr="00C75E5E">
              <w:rPr>
                <w:sz w:val="24"/>
                <w:szCs w:val="24"/>
                <w:lang w:val="lv-LV"/>
              </w:rPr>
              <w:t>rī valsts finansēto pakalpojumu gadījumā var būt izņēmuma situācijas – proti, finansējums pakalpojuma nodrošināšanai tiek piešķirts no valsts budžeta, bet pakalpojuma piešķiršanu un administrēšanu nodrošina pašvaldība. Piemēram, atbilstoši normatīvajam regulējumam</w:t>
            </w:r>
            <w:r w:rsidR="00171A3A" w:rsidRPr="00C75E5E">
              <w:rPr>
                <w:sz w:val="24"/>
                <w:szCs w:val="24"/>
                <w:vertAlign w:val="superscript"/>
                <w:lang w:val="lv-LV"/>
              </w:rPr>
              <w:footnoteReference w:id="4"/>
            </w:r>
            <w:r w:rsidR="00171A3A" w:rsidRPr="00C75E5E">
              <w:rPr>
                <w:sz w:val="24"/>
                <w:szCs w:val="24"/>
                <w:lang w:val="lv-LV"/>
              </w:rPr>
              <w:t xml:space="preserve"> tiesības pieprasīt asistenta pakalpojumu</w:t>
            </w:r>
            <w:r w:rsidR="00171A3A" w:rsidRPr="00C75E5E">
              <w:rPr>
                <w:sz w:val="24"/>
                <w:szCs w:val="24"/>
                <w:vertAlign w:val="superscript"/>
                <w:lang w:val="lv-LV"/>
              </w:rPr>
              <w:footnoteReference w:id="5"/>
            </w:r>
            <w:r w:rsidR="00171A3A" w:rsidRPr="00C75E5E">
              <w:rPr>
                <w:sz w:val="24"/>
                <w:szCs w:val="24"/>
                <w:lang w:val="lv-LV"/>
              </w:rPr>
              <w:t xml:space="preserve"> pašvaldībā ir pēc personas deklarētās dzīvesvietas. Tomēr var būt gadījumi, kad asistenta pakalpojumu ērtāk būtu saņemt faktiskajā dzīvesvietā, piemēram, pašvaldībā, kurā atrodas mācību iestāde un kur persona atrodas mācību laikā. Šādā gadījumā pašvaldību sociālajam dienestam ir jāpārliecinās, ka sniegtais asistenta pakalpojums vienā pašvaldībā nepārklājas ar sniegto asistenta pakalpojumu citā pašvaldībā.</w:t>
            </w:r>
          </w:p>
          <w:p w14:paraId="79EA99C2" w14:textId="77777777" w:rsidR="00171A3A" w:rsidRPr="00C75E5E" w:rsidRDefault="00171A3A" w:rsidP="00171A3A">
            <w:pPr>
              <w:pStyle w:val="NoSpacing"/>
              <w:ind w:firstLine="720"/>
              <w:rPr>
                <w:sz w:val="24"/>
                <w:szCs w:val="24"/>
                <w:lang w:val="lv-LV"/>
              </w:rPr>
            </w:pPr>
            <w:r w:rsidRPr="00C75E5E">
              <w:rPr>
                <w:sz w:val="24"/>
                <w:szCs w:val="24"/>
                <w:lang w:val="lv-LV"/>
              </w:rPr>
              <w:t xml:space="preserve">Ņemot vērā iepriekš minēto, </w:t>
            </w:r>
            <w:r w:rsidRPr="00C75E5E">
              <w:rPr>
                <w:b/>
                <w:bCs/>
                <w:sz w:val="24"/>
                <w:szCs w:val="24"/>
                <w:lang w:val="lv-LV"/>
              </w:rPr>
              <w:t>sociālo pakalpojumu un sociālās palīdzības piešķiršanai ir nepieciešama personas deklarētās dzīvesvietas piesaiste pašvaldībai</w:t>
            </w:r>
            <w:r w:rsidRPr="00C75E5E">
              <w:rPr>
                <w:sz w:val="24"/>
                <w:szCs w:val="24"/>
                <w:u w:val="single"/>
                <w:lang w:val="lv-LV"/>
              </w:rPr>
              <w:t>, lai varētu pārliecināties par personas situāciju un pieejamajiem resursiem, lemjot par viena vai otra sociālā pakalpojuma vai sociālās palīdzības veida piešķiršanu.</w:t>
            </w:r>
            <w:r w:rsidRPr="00C75E5E">
              <w:rPr>
                <w:sz w:val="24"/>
                <w:szCs w:val="24"/>
                <w:lang w:val="lv-LV"/>
              </w:rPr>
              <w:t xml:space="preserve"> Pretējā gadījumā, atsaistot sociālo pakalpojumu un sociālās palīdzības saņemšanu no prasības par deklarētās dzīvesvietas esamību konkrētajā pašvaldībā:</w:t>
            </w:r>
          </w:p>
          <w:p w14:paraId="3819B1DF" w14:textId="77777777" w:rsidR="00171A3A" w:rsidRPr="00C75E5E" w:rsidRDefault="00171A3A" w:rsidP="00171A3A">
            <w:pPr>
              <w:pStyle w:val="NoSpacing"/>
              <w:numPr>
                <w:ilvl w:val="0"/>
                <w:numId w:val="1"/>
              </w:numPr>
              <w:rPr>
                <w:sz w:val="24"/>
                <w:szCs w:val="24"/>
                <w:lang w:val="lv-LV"/>
              </w:rPr>
            </w:pPr>
            <w:r w:rsidRPr="00C75E5E">
              <w:rPr>
                <w:sz w:val="24"/>
                <w:szCs w:val="24"/>
                <w:lang w:val="lv-LV"/>
              </w:rPr>
              <w:t>pieaugs administratīvais slogs gan cilvēkiem, gan valsts pārvaldei, jo būtu nepieciešams izveidot otru reģistrāciju par personas faktisko dzīvesvietu, vienlaikus prasot arī papildu resursus, t.sk. finanšu līdzekļus informācijas sistēmas izveidei;</w:t>
            </w:r>
          </w:p>
          <w:p w14:paraId="4CC97E5E" w14:textId="77777777" w:rsidR="00171A3A" w:rsidRPr="00C75E5E" w:rsidRDefault="00171A3A" w:rsidP="00171A3A">
            <w:pPr>
              <w:pStyle w:val="NoSpacing"/>
              <w:numPr>
                <w:ilvl w:val="0"/>
                <w:numId w:val="1"/>
              </w:numPr>
              <w:rPr>
                <w:sz w:val="24"/>
                <w:szCs w:val="24"/>
                <w:lang w:val="lv-LV"/>
              </w:rPr>
            </w:pPr>
            <w:r w:rsidRPr="00C75E5E">
              <w:rPr>
                <w:sz w:val="24"/>
                <w:szCs w:val="24"/>
                <w:lang w:val="lv-LV"/>
              </w:rPr>
              <w:t>būtu nepieciešams pārskatīt iedzīvotāju ienākuma nodokļa novirzīšanu pašvaldībām, jo šobrīd iedzīvotāju ienākuma nodoklis tiek novirzīts pašvaldībai, kurā ir personas deklarētā dzīvesvieta un kurā persona saņem sociālos pakalpojumus un sociālo palīdzību. Ja šie pakalpojumi tiktu sniegti pēc faktiskās dzīvesvietas, tad būtu nepieciešams iedzīvotāju ienākuma nodokli novirzīt pašvaldībām pēc personu faktiskās dzīvesvietas. Turklāt jāņem vērā personai dotās iespējas regulāri mainīt savu dzīvesvietu;</w:t>
            </w:r>
          </w:p>
          <w:p w14:paraId="6901CB7D" w14:textId="77777777" w:rsidR="00171A3A" w:rsidRPr="00C75E5E" w:rsidRDefault="00171A3A" w:rsidP="00171A3A">
            <w:pPr>
              <w:pStyle w:val="NoSpacing"/>
              <w:numPr>
                <w:ilvl w:val="0"/>
                <w:numId w:val="1"/>
              </w:numPr>
              <w:rPr>
                <w:sz w:val="24"/>
                <w:szCs w:val="24"/>
                <w:lang w:val="lv-LV"/>
              </w:rPr>
            </w:pPr>
            <w:r w:rsidRPr="00C75E5E">
              <w:rPr>
                <w:sz w:val="24"/>
                <w:szCs w:val="24"/>
                <w:lang w:val="lv-LV"/>
              </w:rPr>
              <w:t>rodas dubultā finansējuma risks, ka persona saņems sociālos pakalpojumus un sociālo palīdzību no vairākām pašvaldībām;</w:t>
            </w:r>
          </w:p>
          <w:p w14:paraId="04E87778" w14:textId="77777777" w:rsidR="00171A3A" w:rsidRPr="00C75E5E" w:rsidRDefault="00171A3A" w:rsidP="00171A3A">
            <w:pPr>
              <w:pStyle w:val="NoSpacing"/>
              <w:numPr>
                <w:ilvl w:val="0"/>
                <w:numId w:val="1"/>
              </w:numPr>
              <w:rPr>
                <w:sz w:val="24"/>
                <w:szCs w:val="24"/>
                <w:lang w:val="lv-LV"/>
              </w:rPr>
            </w:pPr>
            <w:r w:rsidRPr="00C75E5E">
              <w:rPr>
                <w:sz w:val="24"/>
                <w:szCs w:val="24"/>
                <w:lang w:val="lv-LV"/>
              </w:rPr>
              <w:t xml:space="preserve">būs jāpārskata sociālās palīdzības piešķiršanas periods un nosacījumi, ņemot vērā personas tiesības regulāri mainīt dzīvesvietu un ierobežojumus šajā situācijā efektīvi veikt klienta dzīvesvietas </w:t>
            </w:r>
            <w:proofErr w:type="spellStart"/>
            <w:r w:rsidRPr="00C75E5E">
              <w:rPr>
                <w:sz w:val="24"/>
                <w:szCs w:val="24"/>
                <w:lang w:val="lv-LV"/>
              </w:rPr>
              <w:t>apsekojumu</w:t>
            </w:r>
            <w:proofErr w:type="spellEnd"/>
            <w:r w:rsidRPr="00C75E5E">
              <w:rPr>
                <w:sz w:val="24"/>
                <w:szCs w:val="24"/>
                <w:lang w:val="lv-LV"/>
              </w:rPr>
              <w:t xml:space="preserve"> un resursu novērtējumu.</w:t>
            </w:r>
          </w:p>
          <w:p w14:paraId="653BF023" w14:textId="77777777" w:rsidR="00171A3A" w:rsidRPr="00C75E5E" w:rsidRDefault="00171A3A" w:rsidP="00171A3A">
            <w:pPr>
              <w:pStyle w:val="NoSpacing"/>
              <w:rPr>
                <w:sz w:val="24"/>
                <w:szCs w:val="24"/>
                <w:lang w:val="lv-LV"/>
              </w:rPr>
            </w:pPr>
          </w:p>
          <w:p w14:paraId="47785BBC" w14:textId="79FCF7DE" w:rsidR="00171A3A" w:rsidRPr="00C75E5E" w:rsidRDefault="00171A3A" w:rsidP="00171A3A">
            <w:pPr>
              <w:pStyle w:val="NoSpacing"/>
              <w:ind w:firstLine="720"/>
              <w:rPr>
                <w:sz w:val="24"/>
                <w:szCs w:val="24"/>
                <w:lang w:val="lv-LV"/>
              </w:rPr>
            </w:pPr>
            <w:r w:rsidRPr="00C75E5E">
              <w:rPr>
                <w:sz w:val="24"/>
                <w:szCs w:val="24"/>
                <w:lang w:val="lv-LV"/>
              </w:rPr>
              <w:lastRenderedPageBreak/>
              <w:t xml:space="preserve">Personas deklarētās dzīvesvietas prasība ir </w:t>
            </w:r>
            <w:r w:rsidRPr="00C75E5E">
              <w:rPr>
                <w:b/>
                <w:bCs/>
                <w:sz w:val="24"/>
                <w:szCs w:val="24"/>
                <w:lang w:val="lv-LV"/>
              </w:rPr>
              <w:t>tieši saistīta ar bāriņtiesu darbību un funkciju nodrošināšanu</w:t>
            </w:r>
            <w:r w:rsidRPr="00C75E5E">
              <w:rPr>
                <w:sz w:val="24"/>
                <w:szCs w:val="24"/>
                <w:lang w:val="lv-LV"/>
              </w:rPr>
              <w:t>. Saskaņā ar Bāriņtiesu likuma 7.</w:t>
            </w:r>
            <w:r w:rsidR="00176467" w:rsidRPr="00C75E5E">
              <w:rPr>
                <w:sz w:val="24"/>
                <w:szCs w:val="24"/>
                <w:lang w:val="lv-LV"/>
              </w:rPr>
              <w:t> </w:t>
            </w:r>
            <w:r w:rsidRPr="00C75E5E">
              <w:rPr>
                <w:sz w:val="24"/>
                <w:szCs w:val="24"/>
                <w:lang w:val="lv-LV"/>
              </w:rPr>
              <w:t>pantu, lai pilnvērtīgi nodrošinātu bērnu un aizgādnībā esošo personu tiesību un interešu aizsardzību, pašvaldība nosaka bāriņtiesas sastāva lielumu atbilstoši pašvaldības administratīvajā teritorijā deklarēto iedzīvotāju skaitam, bērnu un aizgādnībā esošo personu skaitam, bāriņtiesas lietu skaitam un pašvaldības administratīvās teritorijas lielumam. Pašvaldības domei ir jānodrošina, lai visiem attiecīgās pašvaldības administratīvās teritorijas iedzīvotājiem bāriņtiesa būtu pēc iespējas ērti pieejama un lai attiecīgās pašvaldības bāriņtiesa varētu nodrošināt tai likumā noteikto funkciju un uzdevumu izpildi.</w:t>
            </w:r>
          </w:p>
          <w:p w14:paraId="6F642026" w14:textId="77777777" w:rsidR="00171A3A" w:rsidRPr="00C75E5E" w:rsidRDefault="00171A3A" w:rsidP="00171A3A">
            <w:pPr>
              <w:pStyle w:val="NoSpacing"/>
              <w:ind w:firstLine="720"/>
              <w:rPr>
                <w:sz w:val="24"/>
                <w:szCs w:val="24"/>
                <w:lang w:val="lv-LV"/>
              </w:rPr>
            </w:pPr>
            <w:r w:rsidRPr="00C75E5E">
              <w:rPr>
                <w:sz w:val="24"/>
                <w:szCs w:val="24"/>
                <w:lang w:val="lv-LV"/>
              </w:rPr>
              <w:t>Bāriņtiesa savas funkcijas un uzdevumus aizbildnības un aizgādnības lietās veic atbilstoši bērna un tā vecāku vai personas ar ierobežotu rīcībspēju deklarētajai dzīvesvietai. Ja deklarētās dzīvesvietas nav, bāriņtiesa funkcijas un uzdevumus veic atbilstoši personas faktiskajai dzīvesvietai.</w:t>
            </w:r>
          </w:p>
          <w:p w14:paraId="6F323E60" w14:textId="78BE0551" w:rsidR="00171A3A" w:rsidRPr="00C75E5E" w:rsidRDefault="00171A3A" w:rsidP="00171A3A">
            <w:pPr>
              <w:pStyle w:val="NoSpacing"/>
              <w:ind w:firstLine="720"/>
              <w:rPr>
                <w:sz w:val="24"/>
                <w:szCs w:val="24"/>
                <w:lang w:val="lv-LV"/>
              </w:rPr>
            </w:pPr>
            <w:r w:rsidRPr="00C75E5E">
              <w:rPr>
                <w:sz w:val="24"/>
                <w:szCs w:val="24"/>
                <w:lang w:val="lv-LV"/>
              </w:rPr>
              <w:t>Jāņem vērā, ka saskaņā ar Bāriņtiesu likuma 2.</w:t>
            </w:r>
            <w:r w:rsidR="00176467" w:rsidRPr="00C75E5E">
              <w:rPr>
                <w:sz w:val="24"/>
                <w:szCs w:val="24"/>
                <w:lang w:val="lv-LV"/>
              </w:rPr>
              <w:t> </w:t>
            </w:r>
            <w:r w:rsidRPr="00C75E5E">
              <w:rPr>
                <w:sz w:val="24"/>
                <w:szCs w:val="24"/>
                <w:lang w:val="lv-LV"/>
              </w:rPr>
              <w:t>panta otro daļu, novadu teritoriālajās vienībās, kurās nav notāra, bāriņtiesa </w:t>
            </w:r>
            <w:hyperlink r:id="rId7" w:tgtFrame="_blank" w:history="1">
              <w:r w:rsidRPr="00C75E5E">
                <w:rPr>
                  <w:rStyle w:val="Hyperlink"/>
                  <w:sz w:val="24"/>
                  <w:szCs w:val="24"/>
                  <w:lang w:val="lv-LV"/>
                </w:rPr>
                <w:t>Civillikumā</w:t>
              </w:r>
            </w:hyperlink>
            <w:r w:rsidRPr="00C75E5E">
              <w:rPr>
                <w:sz w:val="24"/>
                <w:szCs w:val="24"/>
                <w:lang w:val="lv-LV"/>
              </w:rPr>
              <w:t> noteiktajos gadījumos sniedz palīdzību mantojuma lietu kārtošanā, gādā par mantojuma apsardzību, kā arī izdara apliecinājumus un pilda citus šā likuma </w:t>
            </w:r>
            <w:hyperlink r:id="rId8" w:anchor="p61" w:history="1">
              <w:r w:rsidRPr="00C75E5E">
                <w:rPr>
                  <w:rStyle w:val="Hyperlink"/>
                  <w:sz w:val="24"/>
                  <w:szCs w:val="24"/>
                  <w:lang w:val="lv-LV"/>
                </w:rPr>
                <w:t>61.pantā</w:t>
              </w:r>
            </w:hyperlink>
            <w:r w:rsidRPr="00C75E5E">
              <w:rPr>
                <w:sz w:val="24"/>
                <w:szCs w:val="24"/>
                <w:lang w:val="lv-LV"/>
              </w:rPr>
              <w:t> norādītos uzdevumus, kas ir saistīti ar personas deklarētās dzīvesvietas piekritību attiecīgajai pašvaldībai, proti bāriņtiesa:</w:t>
            </w:r>
          </w:p>
          <w:p w14:paraId="758FCA5B" w14:textId="77777777" w:rsidR="00171A3A" w:rsidRPr="00C75E5E" w:rsidRDefault="00171A3A" w:rsidP="00171A3A">
            <w:pPr>
              <w:pStyle w:val="NoSpacing"/>
              <w:numPr>
                <w:ilvl w:val="0"/>
                <w:numId w:val="2"/>
              </w:numPr>
              <w:rPr>
                <w:sz w:val="24"/>
                <w:szCs w:val="24"/>
                <w:lang w:val="lv-LV"/>
              </w:rPr>
            </w:pPr>
            <w:r w:rsidRPr="00C75E5E">
              <w:rPr>
                <w:sz w:val="24"/>
                <w:szCs w:val="24"/>
                <w:lang w:val="lv-LV"/>
              </w:rPr>
              <w:t xml:space="preserve">apliecina darījumu, ja to slēdz attiecīgās bāriņtiesas darbības teritorijā savu dzīvesvietu deklarējušie iedzīvotāji savstarpēji un ar citām personām un darījuma summa nepārsniedz 8537 </w:t>
            </w:r>
            <w:proofErr w:type="spellStart"/>
            <w:r w:rsidRPr="00C75E5E">
              <w:rPr>
                <w:sz w:val="24"/>
                <w:szCs w:val="24"/>
                <w:lang w:val="lv-LV"/>
              </w:rPr>
              <w:t>euro</w:t>
            </w:r>
            <w:proofErr w:type="spellEnd"/>
            <w:r w:rsidRPr="00C75E5E">
              <w:rPr>
                <w:sz w:val="24"/>
                <w:szCs w:val="24"/>
                <w:lang w:val="lv-LV"/>
              </w:rPr>
              <w:t>;</w:t>
            </w:r>
          </w:p>
          <w:p w14:paraId="2852EB0A" w14:textId="77777777" w:rsidR="00171A3A" w:rsidRPr="00C75E5E" w:rsidRDefault="00171A3A" w:rsidP="00171A3A">
            <w:pPr>
              <w:pStyle w:val="NoSpacing"/>
              <w:numPr>
                <w:ilvl w:val="0"/>
                <w:numId w:val="2"/>
              </w:numPr>
              <w:rPr>
                <w:sz w:val="24"/>
                <w:szCs w:val="24"/>
                <w:lang w:val="lv-LV"/>
              </w:rPr>
            </w:pPr>
            <w:r w:rsidRPr="00C75E5E">
              <w:rPr>
                <w:sz w:val="24"/>
                <w:szCs w:val="24"/>
                <w:lang w:val="lv-LV"/>
              </w:rPr>
              <w:t>ieraksta testamentu grāmatā to iedzīvotāju testamentus, kuru deklarētā dzīvesvieta ir attiecīgās bāriņtiesas darbības teritorijā, pieņem glabāšanā šo iedzīvotāju privātos testamentus (neatkarīgi no novēlētās mantas vērtības), kā arī pieņem bāriņtiesai glabāšanā nodoto testamentu atsaukumus (neatkarīgi no testatora dzīvesvietas);</w:t>
            </w:r>
          </w:p>
          <w:p w14:paraId="100F9A5B" w14:textId="77777777" w:rsidR="00171A3A" w:rsidRPr="00C75E5E" w:rsidRDefault="00171A3A" w:rsidP="00171A3A">
            <w:pPr>
              <w:pStyle w:val="NoSpacing"/>
              <w:numPr>
                <w:ilvl w:val="0"/>
                <w:numId w:val="2"/>
              </w:numPr>
              <w:rPr>
                <w:sz w:val="24"/>
                <w:szCs w:val="24"/>
                <w:lang w:val="lv-LV"/>
              </w:rPr>
            </w:pPr>
            <w:r w:rsidRPr="00C75E5E">
              <w:rPr>
                <w:sz w:val="24"/>
                <w:szCs w:val="24"/>
                <w:lang w:val="lv-LV"/>
              </w:rPr>
              <w:t>apliecina to iedzīvotāju pilnvaras (izņemot universālpilnvaras), kuru deklarētā dzīvesvieta ir attiecīgās bāriņtiesas darbības teritorijā, un pieņem šo iedzīvotāju pilnvaru atsaukumus;</w:t>
            </w:r>
          </w:p>
          <w:p w14:paraId="41A13F9E" w14:textId="77777777" w:rsidR="00171A3A" w:rsidRPr="00C75E5E" w:rsidRDefault="00171A3A" w:rsidP="00171A3A">
            <w:pPr>
              <w:pStyle w:val="NoSpacing"/>
              <w:numPr>
                <w:ilvl w:val="0"/>
                <w:numId w:val="2"/>
              </w:numPr>
              <w:rPr>
                <w:sz w:val="24"/>
                <w:szCs w:val="24"/>
                <w:lang w:val="lv-LV"/>
              </w:rPr>
            </w:pPr>
            <w:r w:rsidRPr="00C75E5E">
              <w:rPr>
                <w:sz w:val="24"/>
                <w:szCs w:val="24"/>
                <w:lang w:val="lv-LV"/>
              </w:rPr>
              <w:t>apliecina uz dokumentiem to iedzīvotāju paraksta īstumu, kuru deklarētā dzīvesvieta ir attiecīgās bāriņtiesas darbības teritorijā;</w:t>
            </w:r>
          </w:p>
          <w:p w14:paraId="621270D4" w14:textId="77777777" w:rsidR="00171A3A" w:rsidRPr="00C75E5E" w:rsidRDefault="00171A3A" w:rsidP="00171A3A">
            <w:pPr>
              <w:pStyle w:val="NoSpacing"/>
              <w:numPr>
                <w:ilvl w:val="0"/>
                <w:numId w:val="2"/>
              </w:numPr>
              <w:rPr>
                <w:sz w:val="24"/>
                <w:szCs w:val="24"/>
                <w:lang w:val="lv-LV"/>
              </w:rPr>
            </w:pPr>
            <w:r w:rsidRPr="00C75E5E">
              <w:rPr>
                <w:sz w:val="24"/>
                <w:szCs w:val="24"/>
                <w:lang w:val="lv-LV"/>
              </w:rPr>
              <w:t>apliecina tāda dokumenta noraksta, kopijas vai izraksta pareizību, kurš attiecas uz konkrēto personu;</w:t>
            </w:r>
          </w:p>
          <w:p w14:paraId="787F6C73" w14:textId="77777777" w:rsidR="00171A3A" w:rsidRPr="00C75E5E" w:rsidRDefault="00171A3A" w:rsidP="00171A3A">
            <w:pPr>
              <w:pStyle w:val="NoSpacing"/>
              <w:numPr>
                <w:ilvl w:val="0"/>
                <w:numId w:val="2"/>
              </w:numPr>
              <w:rPr>
                <w:sz w:val="24"/>
                <w:szCs w:val="24"/>
                <w:lang w:val="lv-LV"/>
              </w:rPr>
            </w:pPr>
            <w:r w:rsidRPr="00C75E5E">
              <w:rPr>
                <w:sz w:val="24"/>
                <w:szCs w:val="24"/>
                <w:lang w:val="lv-LV"/>
              </w:rPr>
              <w:t>pēc līdzēju iesnieguma saņemšanas izsniedz paziņojumu par līguma grozīšanu vai uzteikšanu līdzēju pretējām pusēm, ja to deklarētā dzīvesvieta ir attiecīgās bāriņtiesas darbības teritorijā;</w:t>
            </w:r>
          </w:p>
          <w:p w14:paraId="4B706625" w14:textId="77777777" w:rsidR="00171A3A" w:rsidRPr="00C75E5E" w:rsidRDefault="00171A3A" w:rsidP="00171A3A">
            <w:pPr>
              <w:pStyle w:val="NoSpacing"/>
              <w:numPr>
                <w:ilvl w:val="0"/>
                <w:numId w:val="2"/>
              </w:numPr>
              <w:rPr>
                <w:sz w:val="24"/>
                <w:szCs w:val="24"/>
                <w:lang w:val="lv-LV"/>
              </w:rPr>
            </w:pPr>
            <w:r w:rsidRPr="00C75E5E">
              <w:rPr>
                <w:sz w:val="24"/>
                <w:szCs w:val="24"/>
                <w:lang w:val="lv-LV"/>
              </w:rPr>
              <w:t>apliecina parakstus uz nostiprinājuma lūguma zemesgrāmatai (Zemesgrāmatu likuma 60.pants), ja viens no lūdzējiem ir deklarējis savu dzīvesvietu attiecīgās bāriņtiesas darbības teritorijā;</w:t>
            </w:r>
          </w:p>
          <w:p w14:paraId="320B88B6" w14:textId="77777777" w:rsidR="00171A3A" w:rsidRPr="00C75E5E" w:rsidRDefault="00171A3A" w:rsidP="00171A3A">
            <w:pPr>
              <w:pStyle w:val="NoSpacing"/>
              <w:numPr>
                <w:ilvl w:val="0"/>
                <w:numId w:val="2"/>
              </w:numPr>
              <w:rPr>
                <w:sz w:val="24"/>
                <w:szCs w:val="24"/>
                <w:lang w:val="lv-LV"/>
              </w:rPr>
            </w:pPr>
            <w:r w:rsidRPr="00C75E5E">
              <w:rPr>
                <w:sz w:val="24"/>
                <w:szCs w:val="24"/>
                <w:lang w:val="lv-LV"/>
              </w:rPr>
              <w:t>sagatavo dokumentu projektus.</w:t>
            </w:r>
          </w:p>
          <w:p w14:paraId="7F887DD6" w14:textId="77777777" w:rsidR="00171A3A" w:rsidRPr="00C75E5E" w:rsidRDefault="00171A3A" w:rsidP="00171A3A">
            <w:pPr>
              <w:pStyle w:val="NoSpacing"/>
              <w:rPr>
                <w:sz w:val="24"/>
                <w:szCs w:val="24"/>
                <w:lang w:val="lv-LV"/>
              </w:rPr>
            </w:pPr>
          </w:p>
          <w:p w14:paraId="4042541C" w14:textId="00A09323" w:rsidR="00FB49C9" w:rsidRPr="00C75E5E" w:rsidRDefault="00171A3A" w:rsidP="00176467">
            <w:pPr>
              <w:pStyle w:val="NoSpacing"/>
              <w:ind w:firstLine="720"/>
              <w:rPr>
                <w:sz w:val="24"/>
                <w:szCs w:val="24"/>
                <w:lang w:val="lv-LV"/>
              </w:rPr>
            </w:pPr>
            <w:r w:rsidRPr="00C75E5E">
              <w:rPr>
                <w:sz w:val="24"/>
                <w:szCs w:val="24"/>
                <w:lang w:val="lv-LV"/>
              </w:rPr>
              <w:t>Bāriņtiesas apliecinājums juridiskā spēka ziņā pielīdzināms notariālajam apliecinājumam. Ņemot vērā iepriekšminēto, uzskatām sasaisti ar deklarēto dzīvesvietu par saprātīgu un pamatotu bāriņtiesas funkciju nodrošināšanai un atbilstošu pašvaldības resursu plānošanai.</w:t>
            </w:r>
          </w:p>
        </w:tc>
      </w:tr>
      <w:tr w:rsidR="00FB49C9" w:rsidRPr="00C75E5E" w14:paraId="521F22D9" w14:textId="77777777" w:rsidTr="00171A3A">
        <w:tc>
          <w:tcPr>
            <w:tcW w:w="2263" w:type="dxa"/>
          </w:tcPr>
          <w:p w14:paraId="10131548" w14:textId="6A77D7EF" w:rsidR="00FB49C9" w:rsidRPr="00C75E5E" w:rsidRDefault="00176467" w:rsidP="00D93F27">
            <w:pPr>
              <w:pStyle w:val="NoSpacing"/>
              <w:jc w:val="left"/>
              <w:rPr>
                <w:b/>
                <w:bCs/>
                <w:sz w:val="24"/>
                <w:szCs w:val="24"/>
                <w:lang w:val="lv-LV"/>
              </w:rPr>
            </w:pPr>
            <w:r w:rsidRPr="00C75E5E">
              <w:rPr>
                <w:b/>
                <w:bCs/>
                <w:sz w:val="24"/>
                <w:szCs w:val="24"/>
                <w:lang w:val="lv-LV"/>
              </w:rPr>
              <w:lastRenderedPageBreak/>
              <w:t>Valsts probācijas dienests</w:t>
            </w:r>
          </w:p>
        </w:tc>
        <w:tc>
          <w:tcPr>
            <w:tcW w:w="11685" w:type="dxa"/>
          </w:tcPr>
          <w:p w14:paraId="5E726AC7" w14:textId="77777777" w:rsidR="00E7318B" w:rsidRPr="00C75E5E" w:rsidRDefault="00E7318B" w:rsidP="00E7318B">
            <w:pPr>
              <w:pStyle w:val="NoSpacing"/>
              <w:ind w:firstLine="720"/>
              <w:rPr>
                <w:sz w:val="24"/>
                <w:szCs w:val="24"/>
                <w:lang w:val="lv-LV"/>
              </w:rPr>
            </w:pPr>
            <w:r w:rsidRPr="00C75E5E">
              <w:rPr>
                <w:sz w:val="24"/>
                <w:szCs w:val="24"/>
                <w:lang w:val="lv-LV"/>
              </w:rPr>
              <w:t xml:space="preserve">Dienests primāri </w:t>
            </w:r>
            <w:r w:rsidRPr="00C75E5E">
              <w:rPr>
                <w:sz w:val="24"/>
                <w:szCs w:val="24"/>
                <w:u w:val="single"/>
                <w:lang w:val="lv-LV"/>
              </w:rPr>
              <w:t>deklarētās dzīvesvietas adresi izmanto saziņai ar probācijas klientu vai citām fiziskām personām</w:t>
            </w:r>
            <w:r w:rsidRPr="00C75E5E">
              <w:rPr>
                <w:sz w:val="24"/>
                <w:szCs w:val="24"/>
                <w:lang w:val="lv-LV"/>
              </w:rPr>
              <w:t>, piemēram, cietušo, nepilngadīgā likumisko pārstāvi u.tml. Dienests saziņai ar probācijas klientu vai citu fizisku personu izmanto arī oficiālo e-adresi, ja persona šādu adreses kontu ir aktivizējusi. Savukārt gadījumos, kad probācijas klients ir izteicis vēlmi ar Dienestu sazināties citā veidā, piemēram, elektroniskā pasta adresē, e-lietas portālā vai citā korespondences saņemšanas adresē, Dienests fiksē probācijas klienta vēlmi un saziņā izmanto probācijas klienta izvēlēto saziņas veidu.</w:t>
            </w:r>
          </w:p>
          <w:p w14:paraId="66772D3B" w14:textId="77777777" w:rsidR="00E7318B" w:rsidRPr="00C75E5E" w:rsidRDefault="00E7318B" w:rsidP="00E7318B">
            <w:pPr>
              <w:pStyle w:val="NoSpacing"/>
              <w:ind w:firstLine="720"/>
              <w:rPr>
                <w:sz w:val="24"/>
                <w:szCs w:val="24"/>
                <w:lang w:val="lv-LV"/>
              </w:rPr>
            </w:pPr>
            <w:r w:rsidRPr="00C75E5E">
              <w:rPr>
                <w:sz w:val="24"/>
                <w:szCs w:val="24"/>
                <w:lang w:val="lv-LV"/>
              </w:rPr>
              <w:t xml:space="preserve">Latvijas Sodu izpildes kodekss nosaka, ka </w:t>
            </w:r>
            <w:r w:rsidRPr="00C75E5E">
              <w:rPr>
                <w:b/>
                <w:bCs/>
                <w:sz w:val="24"/>
                <w:szCs w:val="24"/>
                <w:lang w:val="lv-LV"/>
              </w:rPr>
              <w:t>Dienests izpildot Dienesta funkcijās paredzētos kriminālsodus, tos izpilda atbilstoši probācijas klienta deklarētajai dzīvesvietai</w:t>
            </w:r>
            <w:r w:rsidRPr="00C75E5E">
              <w:rPr>
                <w:sz w:val="24"/>
                <w:szCs w:val="24"/>
                <w:lang w:val="lv-LV"/>
              </w:rPr>
              <w:t xml:space="preserve">, vai, ja probācijas klientam nav deklarētās dzīvesvietas atbilstoši viņa faktiskajai dzīvesvietai. Ja probācijas klients vēlas izciest sodu citā vietā, kas nav viņa deklarētā vai faktiskā dzīvesvieta, Dienests, pamatojoties uz probācijas klienta pamatotu iesniegumu, funkciju izpildi var nodrošināt arī probācijas klienta izvēlētajā vietā. </w:t>
            </w:r>
            <w:r w:rsidRPr="00C75E5E">
              <w:rPr>
                <w:sz w:val="24"/>
                <w:szCs w:val="24"/>
                <w:u w:val="single"/>
                <w:lang w:val="lv-LV"/>
              </w:rPr>
              <w:t>Grozot Dzīvesvietas deklarēšanas likumu vai mainot dzīvesvietas deklarēšanas kārtību, Dienests nesaskata, ka varētu rasties sarežģījumi Dienesta funkciju izpildes nodrošināšanā</w:t>
            </w:r>
            <w:r w:rsidRPr="00C75E5E">
              <w:rPr>
                <w:sz w:val="24"/>
                <w:szCs w:val="24"/>
                <w:lang w:val="lv-LV"/>
              </w:rPr>
              <w:t xml:space="preserve">. </w:t>
            </w:r>
          </w:p>
          <w:p w14:paraId="050F2194" w14:textId="77777777" w:rsidR="00E7318B" w:rsidRPr="00C75E5E" w:rsidRDefault="00E7318B" w:rsidP="00E7318B">
            <w:pPr>
              <w:pStyle w:val="NoSpacing"/>
              <w:ind w:firstLine="720"/>
              <w:rPr>
                <w:sz w:val="24"/>
                <w:szCs w:val="24"/>
                <w:lang w:val="lv-LV"/>
              </w:rPr>
            </w:pPr>
            <w:r w:rsidRPr="00C75E5E">
              <w:rPr>
                <w:sz w:val="24"/>
                <w:szCs w:val="24"/>
                <w:lang w:val="lv-LV"/>
              </w:rPr>
              <w:t xml:space="preserve">Sociālo pakalpojumu sniegšana tiešā veidā nav Dienesta kompetencē, tomēr piekrītam, ka sociālo pakalpojumu saņemšanā, iespējams, varētu izmantot citu mehānismu, nevis pakalpojuma sniegšanai ņemt par pamatu deklarēto dzīvesvietu. </w:t>
            </w:r>
            <w:r w:rsidRPr="00C75E5E">
              <w:rPr>
                <w:i/>
                <w:iCs/>
                <w:sz w:val="24"/>
                <w:szCs w:val="24"/>
                <w:lang w:val="lv-LV"/>
              </w:rPr>
              <w:t>Dienests uzskata, ka dzīvesvietas deklarēšanas mehānisms būtu jāpilnveido, lai persona nevarētu dzīvesvietu deklarēt īpašumā bez nekustāmā īpašuma īpašnieka piekrišanas</w:t>
            </w:r>
            <w:r w:rsidRPr="00C75E5E">
              <w:rPr>
                <w:sz w:val="24"/>
                <w:szCs w:val="24"/>
                <w:lang w:val="lv-LV"/>
              </w:rPr>
              <w:t>.</w:t>
            </w:r>
          </w:p>
          <w:p w14:paraId="47242EAB" w14:textId="77777777" w:rsidR="00FB49C9" w:rsidRPr="00C75E5E" w:rsidRDefault="00FB49C9" w:rsidP="00FB49C9">
            <w:pPr>
              <w:jc w:val="both"/>
              <w:rPr>
                <w:rFonts w:ascii="Times New Roman" w:hAnsi="Times New Roman" w:cs="Times New Roman"/>
                <w:sz w:val="24"/>
                <w:szCs w:val="24"/>
              </w:rPr>
            </w:pPr>
          </w:p>
        </w:tc>
      </w:tr>
      <w:tr w:rsidR="00C75E5E" w:rsidRPr="00C75E5E" w14:paraId="28751F4C" w14:textId="77777777" w:rsidTr="00171A3A">
        <w:tc>
          <w:tcPr>
            <w:tcW w:w="2263" w:type="dxa"/>
          </w:tcPr>
          <w:p w14:paraId="1C844193" w14:textId="6A40417D" w:rsidR="00C75E5E" w:rsidRPr="00C75E5E" w:rsidRDefault="00C75E5E" w:rsidP="00D93F27">
            <w:pPr>
              <w:pStyle w:val="NoSpacing"/>
              <w:jc w:val="left"/>
              <w:rPr>
                <w:b/>
                <w:bCs/>
                <w:sz w:val="24"/>
                <w:szCs w:val="24"/>
                <w:lang w:val="lv-LV"/>
              </w:rPr>
            </w:pPr>
            <w:r w:rsidRPr="00C75E5E">
              <w:rPr>
                <w:b/>
                <w:bCs/>
                <w:sz w:val="24"/>
                <w:szCs w:val="24"/>
                <w:lang w:val="lv-LV"/>
              </w:rPr>
              <w:t>Finanšu ministrija</w:t>
            </w:r>
          </w:p>
        </w:tc>
        <w:tc>
          <w:tcPr>
            <w:tcW w:w="11685" w:type="dxa"/>
          </w:tcPr>
          <w:p w14:paraId="71E5BEEB" w14:textId="58B9F1FE" w:rsidR="00C75E5E" w:rsidRPr="00C75E5E" w:rsidRDefault="00C75E5E" w:rsidP="00C75E5E">
            <w:pPr>
              <w:pStyle w:val="NoSpacing"/>
              <w:ind w:firstLine="720"/>
              <w:rPr>
                <w:sz w:val="24"/>
                <w:szCs w:val="24"/>
                <w:lang w:val="lv-LV"/>
              </w:rPr>
            </w:pPr>
            <w:r w:rsidRPr="00C75E5E">
              <w:rPr>
                <w:sz w:val="24"/>
                <w:szCs w:val="24"/>
                <w:lang w:val="lv-LV"/>
              </w:rPr>
              <w:t xml:space="preserve">Finanšu ministrijas kompetencē esošajos likumos “Par iedzīvotāju ienākuma nodokli” un “Par nekustamā īpašuma nodokli” ir iekļauti šādi </w:t>
            </w:r>
            <w:r w:rsidRPr="00C75E5E">
              <w:rPr>
                <w:sz w:val="24"/>
                <w:szCs w:val="24"/>
                <w:u w:val="single"/>
                <w:lang w:val="lv-LV"/>
              </w:rPr>
              <w:t>nodokļu atvieglojumi, kuru saņemšana ir saistīta ar deklarēto dzīvesvietu</w:t>
            </w:r>
            <w:r w:rsidRPr="00C75E5E">
              <w:rPr>
                <w:sz w:val="24"/>
                <w:szCs w:val="24"/>
                <w:lang w:val="lv-LV"/>
              </w:rPr>
              <w:t>:</w:t>
            </w:r>
          </w:p>
          <w:p w14:paraId="15DA34E2" w14:textId="13158D1F" w:rsidR="00C75E5E" w:rsidRPr="00C75E5E" w:rsidRDefault="00C75E5E" w:rsidP="00C75E5E">
            <w:pPr>
              <w:pStyle w:val="NoSpacing"/>
              <w:numPr>
                <w:ilvl w:val="0"/>
                <w:numId w:val="3"/>
              </w:numPr>
              <w:rPr>
                <w:sz w:val="24"/>
                <w:szCs w:val="24"/>
                <w:lang w:val="lv-LV"/>
              </w:rPr>
            </w:pPr>
            <w:r w:rsidRPr="00C75E5E">
              <w:rPr>
                <w:sz w:val="24"/>
                <w:szCs w:val="24"/>
                <w:lang w:val="lv-LV"/>
              </w:rPr>
              <w:t>likumā “Par iedzīvotāju ienākuma nodokli” ir iekļauti iedzīvotāju ienākuma nodokļa atbrīvojumi fiziskās personas gūtajam ienākumam par sev piederošo nekustamo īpašumu, kurā fiziskajai personai ir deklarētā dzīvesvieta noteiktu periodu (9. panta pirmās daļas 33. punkts un 34. punkts). Minētajos gadījumos nepastāv iespējamība, ka, ja sveša persona ir deklarēta nekustamajā īpašumā, šī nekustamā īpašuma īpašnieks varētu saņemt minēto iedzīvotāju ienākuma nodokļa atbrīvojumu, jo atbrīvojumā ir ietverta prasība, ka tieši nekustamā īpašuma īpašniekam ir jābūt deklarētajai dzīvesvietai sev piederošajā konkrētajā nekustamajā īpašumā;</w:t>
            </w:r>
          </w:p>
          <w:p w14:paraId="6F2B9126" w14:textId="4B91F433" w:rsidR="00C75E5E" w:rsidRPr="00C75E5E" w:rsidRDefault="00C75E5E" w:rsidP="00C75E5E">
            <w:pPr>
              <w:pStyle w:val="NoSpacing"/>
              <w:numPr>
                <w:ilvl w:val="0"/>
                <w:numId w:val="3"/>
              </w:numPr>
              <w:rPr>
                <w:sz w:val="24"/>
                <w:szCs w:val="24"/>
                <w:lang w:val="lv-LV"/>
              </w:rPr>
            </w:pPr>
            <w:r w:rsidRPr="00C75E5E">
              <w:rPr>
                <w:sz w:val="24"/>
                <w:szCs w:val="24"/>
                <w:lang w:val="lv-LV"/>
              </w:rPr>
              <w:t>likuma “Par nekustamā īpašuma nodokli” 5. panta 1.</w:t>
            </w:r>
            <w:r w:rsidRPr="00C75E5E">
              <w:rPr>
                <w:sz w:val="24"/>
                <w:szCs w:val="24"/>
                <w:vertAlign w:val="superscript"/>
                <w:lang w:val="lv-LV"/>
              </w:rPr>
              <w:t>2 </w:t>
            </w:r>
            <w:r w:rsidRPr="00C75E5E">
              <w:rPr>
                <w:sz w:val="24"/>
                <w:szCs w:val="24"/>
                <w:lang w:val="lv-LV"/>
              </w:rPr>
              <w:t>daļā ietverti nosacījumi nekustamā īpašuma nodokļa atvieglojuma saņemšanai ģimenēm, kurām ir trīs un vairāk bērni. Minētajā gadījumā nepastāv iespējamība, ka, ja sveša persona ir deklarēta nekustamajā īpašumā, šī nekustamā īpašuma īpašnieks varētu saņemt minēto nekustamā īpašuma nodokļa atvieglojumu. Attiecībā uz likuma “Par nekustamā īpašuma nodokli” 3. panta pirmajā daļā un 5. panta trešajā daļā noteiktajām pašvaldību tiesībām saistošajos noteikumos noteikt nekustamā īpašuma nodokļa likmes un nekustamā īpašuma nodokļa atvieglojumus, informatīvā ziņojuma “Informatīvais ziņojums par situāciju dzīvesvietas deklarēšanas jomā” projektā šīs normas ir minētas.</w:t>
            </w:r>
          </w:p>
          <w:p w14:paraId="18D46D63" w14:textId="0256BD4D" w:rsidR="00C75E5E" w:rsidRPr="00C75E5E" w:rsidRDefault="00C75E5E" w:rsidP="00C75E5E">
            <w:pPr>
              <w:pStyle w:val="NoSpacing"/>
              <w:rPr>
                <w:sz w:val="24"/>
                <w:szCs w:val="24"/>
                <w:lang w:val="lv-LV"/>
              </w:rPr>
            </w:pPr>
            <w:r w:rsidRPr="00C75E5E">
              <w:rPr>
                <w:sz w:val="24"/>
                <w:szCs w:val="24"/>
                <w:lang w:val="lv-LV"/>
              </w:rPr>
              <w:t>Piekrīt, ka jārisina jautājumi par nepamatoti deklarētās dzīvesvietas anulēšanu, kā arī liegumu veikt attiecīgo rēķinu pārrēķinu par sniegtajiem publiskajiem pakalpojumiem.</w:t>
            </w:r>
          </w:p>
        </w:tc>
      </w:tr>
      <w:tr w:rsidR="00C75E5E" w:rsidRPr="00C75E5E" w14:paraId="75ECE666" w14:textId="77777777" w:rsidTr="00171A3A">
        <w:tc>
          <w:tcPr>
            <w:tcW w:w="2263" w:type="dxa"/>
          </w:tcPr>
          <w:p w14:paraId="4991CE6B" w14:textId="77777777" w:rsidR="00C75E5E" w:rsidRPr="00C75E5E" w:rsidRDefault="00C75E5E" w:rsidP="00D93F27">
            <w:pPr>
              <w:pStyle w:val="NoSpacing"/>
              <w:jc w:val="left"/>
              <w:rPr>
                <w:b/>
                <w:bCs/>
                <w:sz w:val="24"/>
                <w:szCs w:val="24"/>
                <w:lang w:val="lv-LV"/>
              </w:rPr>
            </w:pPr>
            <w:r w:rsidRPr="00C75E5E">
              <w:rPr>
                <w:b/>
                <w:bCs/>
                <w:sz w:val="24"/>
                <w:szCs w:val="24"/>
                <w:lang w:val="lv-LV"/>
              </w:rPr>
              <w:lastRenderedPageBreak/>
              <w:t xml:space="preserve">Valsts ieņēmumu dienests </w:t>
            </w:r>
          </w:p>
          <w:p w14:paraId="164019BB" w14:textId="64847BE4" w:rsidR="00C75E5E" w:rsidRPr="00C75E5E" w:rsidRDefault="00C75E5E" w:rsidP="00D93F27">
            <w:pPr>
              <w:pStyle w:val="NoSpacing"/>
              <w:jc w:val="left"/>
              <w:rPr>
                <w:sz w:val="24"/>
                <w:szCs w:val="24"/>
                <w:lang w:val="lv-LV"/>
              </w:rPr>
            </w:pPr>
            <w:r w:rsidRPr="00C75E5E">
              <w:rPr>
                <w:sz w:val="24"/>
                <w:szCs w:val="24"/>
                <w:lang w:val="lv-LV"/>
              </w:rPr>
              <w:t>(turpmāk – VID)</w:t>
            </w:r>
          </w:p>
        </w:tc>
        <w:tc>
          <w:tcPr>
            <w:tcW w:w="11685" w:type="dxa"/>
          </w:tcPr>
          <w:p w14:paraId="044BF2B2" w14:textId="5FCCD032" w:rsidR="00C75E5E" w:rsidRPr="00C75E5E" w:rsidRDefault="00C75E5E" w:rsidP="00C75E5E">
            <w:pPr>
              <w:pStyle w:val="NoSpacing"/>
              <w:ind w:firstLine="720"/>
              <w:rPr>
                <w:sz w:val="24"/>
                <w:szCs w:val="24"/>
                <w:lang w:val="lv-LV"/>
              </w:rPr>
            </w:pPr>
            <w:r w:rsidRPr="00C75E5E">
              <w:rPr>
                <w:sz w:val="24"/>
                <w:szCs w:val="24"/>
                <w:lang w:val="lv-LV"/>
              </w:rPr>
              <w:t xml:space="preserve">VID sniegto pakalpojumu apmērs nav saistīts ar deklarēto dzīvesvietu, tomēr </w:t>
            </w:r>
            <w:r w:rsidRPr="00C75E5E">
              <w:rPr>
                <w:b/>
                <w:bCs/>
                <w:sz w:val="24"/>
                <w:szCs w:val="24"/>
                <w:lang w:val="lv-LV"/>
              </w:rPr>
              <w:t>VID ikdienas pakalpojumu sniegšanā fiziskām personām deklarētās dzīvesvietas adresi izmanto dokumentu un informācijas paziņošanai</w:t>
            </w:r>
            <w:r w:rsidRPr="00C75E5E">
              <w:rPr>
                <w:sz w:val="24"/>
                <w:szCs w:val="24"/>
                <w:lang w:val="lv-LV"/>
              </w:rPr>
              <w:t>, ja fiziskā persona nav sasniedzama Valsts ieņēmumu dienesta elektroniskās deklarēšanas sistēmā</w:t>
            </w:r>
            <w:r w:rsidRPr="00C75E5E">
              <w:rPr>
                <w:sz w:val="24"/>
                <w:szCs w:val="24"/>
                <w:u w:val="single"/>
                <w:lang w:val="lv-LV"/>
              </w:rPr>
              <w:t>. Deklarētās dzīvesvietas adreses neesamība var būtiski apgrūtināt VID sniegto pakalpojumu saņemšanu fiziskām personām, kā arī VID funkciju un uzdevumu izpildi</w:t>
            </w:r>
            <w:r w:rsidRPr="00C75E5E">
              <w:rPr>
                <w:sz w:val="24"/>
                <w:szCs w:val="24"/>
                <w:lang w:val="lv-LV"/>
              </w:rPr>
              <w:t xml:space="preserve">, jo VID būs jāizmanto citi Paziņošanas likumā noteiktie saziņas kanāli, tajā skaitā dokumentu un informācijas paziņošana publiski, kas būtiski palielinās administratīvo slogu VID un VSIA “Latvijas Vēstnesis”. </w:t>
            </w:r>
          </w:p>
          <w:p w14:paraId="69F443BA" w14:textId="77777777" w:rsidR="00C75E5E" w:rsidRDefault="00C75E5E" w:rsidP="00C75E5E">
            <w:pPr>
              <w:pStyle w:val="NoSpacing"/>
              <w:ind w:firstLine="720"/>
              <w:rPr>
                <w:sz w:val="24"/>
                <w:szCs w:val="24"/>
                <w:lang w:val="lv-LV"/>
              </w:rPr>
            </w:pPr>
            <w:r w:rsidRPr="00C75E5E">
              <w:rPr>
                <w:sz w:val="24"/>
                <w:szCs w:val="24"/>
                <w:lang w:val="lv-LV"/>
              </w:rPr>
              <w:t xml:space="preserve">VID ieskatā </w:t>
            </w:r>
            <w:r w:rsidRPr="00C75E5E">
              <w:rPr>
                <w:sz w:val="24"/>
                <w:szCs w:val="24"/>
                <w:u w:val="single"/>
                <w:lang w:val="lv-LV"/>
              </w:rPr>
              <w:t>paredzēt tiesības deklarēt dzīvesvietu tikai pēc nekustamā īpašuma īpašnieka atļaujas saņemšanas būtiski palielinātu iestāžu administratīvo slogu</w:t>
            </w:r>
            <w:r w:rsidRPr="00C75E5E">
              <w:rPr>
                <w:sz w:val="24"/>
                <w:szCs w:val="24"/>
                <w:lang w:val="lv-LV"/>
              </w:rPr>
              <w:t>, jo persona atbilstoši Dzīvesvietas deklarēšanas likumam varētu nebūt sasniedzama tiesiskajās attiecībās ar valsti un pašvaldību, kā rezultātā šī sasniedzamība būtu jānodrošina ar citiem risinājumiem. Aicina kolektīvajā iesniegumā minēto problēmu risināt ar citiem iedarbības līdzekļiem un mehānismiem.</w:t>
            </w:r>
          </w:p>
          <w:p w14:paraId="3427CCE9" w14:textId="0531FE45" w:rsidR="00C75E5E" w:rsidRPr="00C75E5E" w:rsidRDefault="00C75E5E" w:rsidP="00C75E5E">
            <w:pPr>
              <w:pStyle w:val="NoSpacing"/>
              <w:ind w:firstLine="720"/>
              <w:rPr>
                <w:sz w:val="24"/>
                <w:szCs w:val="24"/>
                <w:lang w:val="lv-LV"/>
              </w:rPr>
            </w:pPr>
            <w:r w:rsidRPr="00C75E5E">
              <w:rPr>
                <w:sz w:val="24"/>
                <w:szCs w:val="24"/>
                <w:lang w:val="lv-LV"/>
              </w:rPr>
              <w:t xml:space="preserve"> </w:t>
            </w:r>
          </w:p>
        </w:tc>
      </w:tr>
    </w:tbl>
    <w:p w14:paraId="79EB665E" w14:textId="77777777" w:rsidR="00FB49C9" w:rsidRPr="00C75E5E" w:rsidRDefault="00FB49C9" w:rsidP="00FB49C9">
      <w:pPr>
        <w:jc w:val="both"/>
        <w:rPr>
          <w:rFonts w:ascii="Times New Roman" w:hAnsi="Times New Roman" w:cs="Times New Roman"/>
          <w:sz w:val="24"/>
          <w:szCs w:val="24"/>
        </w:rPr>
      </w:pPr>
    </w:p>
    <w:sectPr w:rsidR="00FB49C9" w:rsidRPr="00C75E5E" w:rsidSect="006312C5">
      <w:headerReference w:type="default" r:id="rId9"/>
      <w:footerReference w:type="default" r:id="rId10"/>
      <w:pgSz w:w="16838" w:h="11906" w:orient="landscape"/>
      <w:pgMar w:top="1276" w:right="1440" w:bottom="70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049E3" w14:textId="77777777" w:rsidR="00F20165" w:rsidRDefault="00F20165" w:rsidP="00FB49C9">
      <w:pPr>
        <w:spacing w:after="0" w:line="240" w:lineRule="auto"/>
      </w:pPr>
      <w:r>
        <w:separator/>
      </w:r>
    </w:p>
  </w:endnote>
  <w:endnote w:type="continuationSeparator" w:id="0">
    <w:p w14:paraId="6ABD4F82" w14:textId="77777777" w:rsidR="00F20165" w:rsidRDefault="00F20165" w:rsidP="00FB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825937"/>
      <w:docPartObj>
        <w:docPartGallery w:val="Page Numbers (Bottom of Page)"/>
        <w:docPartUnique/>
      </w:docPartObj>
    </w:sdtPr>
    <w:sdtEndPr>
      <w:rPr>
        <w:noProof/>
      </w:rPr>
    </w:sdtEndPr>
    <w:sdtContent>
      <w:p w14:paraId="32B1AAD9" w14:textId="5A1646C9" w:rsidR="00384A96" w:rsidRDefault="00384A96" w:rsidP="00384A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9D79B" w14:textId="77777777" w:rsidR="00F20165" w:rsidRDefault="00F20165" w:rsidP="00FB49C9">
      <w:pPr>
        <w:spacing w:after="0" w:line="240" w:lineRule="auto"/>
      </w:pPr>
      <w:r>
        <w:separator/>
      </w:r>
    </w:p>
  </w:footnote>
  <w:footnote w:type="continuationSeparator" w:id="0">
    <w:p w14:paraId="30559AA5" w14:textId="77777777" w:rsidR="00F20165" w:rsidRDefault="00F20165" w:rsidP="00FB49C9">
      <w:pPr>
        <w:spacing w:after="0" w:line="240" w:lineRule="auto"/>
      </w:pPr>
      <w:r>
        <w:continuationSeparator/>
      </w:r>
    </w:p>
  </w:footnote>
  <w:footnote w:id="1">
    <w:p w14:paraId="312FC84C" w14:textId="14EA022C" w:rsidR="00FB49C9" w:rsidRDefault="00FB49C9" w:rsidP="00FB49C9">
      <w:pPr>
        <w:pStyle w:val="FootnoteText"/>
      </w:pPr>
      <w:r>
        <w:rPr>
          <w:rStyle w:val="FootnoteReference"/>
        </w:rPr>
        <w:footnoteRef/>
      </w:r>
      <w:r>
        <w:t xml:space="preserve"> </w:t>
      </w:r>
      <w:r w:rsidR="00171A3A">
        <w:rPr>
          <w:szCs w:val="24"/>
        </w:rPr>
        <w:t>TM</w:t>
      </w:r>
      <w:r w:rsidRPr="00904236">
        <w:rPr>
          <w:szCs w:val="24"/>
        </w:rPr>
        <w:t xml:space="preserve"> iesniegtie priekšlikumu Saeimā pie likumprojekta “Grozījumi Civilprocesa likumā” (Nr:66/Lp11) pirms otrā lasījuma. Pieejami: </w:t>
      </w:r>
      <w:hyperlink r:id="rId1" w:history="1">
        <w:r w:rsidRPr="00904236">
          <w:rPr>
            <w:rStyle w:val="Hyperlink"/>
            <w:szCs w:val="24"/>
          </w:rPr>
          <w:t>https://titania.saeima.lv/LIVS11/SaeimaLIVS11.nsf/0/67243E0DEF080476C225799F002DF447?OpenDocument</w:t>
        </w:r>
      </w:hyperlink>
    </w:p>
  </w:footnote>
  <w:footnote w:id="2">
    <w:p w14:paraId="4BC2DFE2" w14:textId="77777777" w:rsidR="00171A3A" w:rsidRPr="006312C5" w:rsidRDefault="00171A3A" w:rsidP="00171A3A">
      <w:pPr>
        <w:pStyle w:val="FootnoteText"/>
        <w:rPr>
          <w:i/>
          <w:iCs/>
          <w:lang w:val="en-US"/>
        </w:rPr>
      </w:pPr>
      <w:r w:rsidRPr="006312C5">
        <w:rPr>
          <w:rStyle w:val="FootnoteReference"/>
          <w:i/>
          <w:iCs/>
        </w:rPr>
        <w:footnoteRef/>
      </w:r>
      <w:r w:rsidRPr="006312C5">
        <w:rPr>
          <w:i/>
          <w:iCs/>
        </w:rPr>
        <w:t xml:space="preserve"> “nodrošināt iedzīvotājiem atbalstu sociālo problēmu risināšanā, kā arī iespēju saņemt sociālo palīdzību un sociālos pakalpojumus”</w:t>
      </w:r>
    </w:p>
  </w:footnote>
  <w:footnote w:id="3">
    <w:p w14:paraId="0E13B7CC" w14:textId="77777777" w:rsidR="00171A3A" w:rsidRPr="006312C5" w:rsidRDefault="00171A3A" w:rsidP="00171A3A">
      <w:pPr>
        <w:pStyle w:val="FootnoteText"/>
        <w:rPr>
          <w:i/>
          <w:iCs/>
          <w:lang w:val="en-US"/>
        </w:rPr>
      </w:pPr>
      <w:r w:rsidRPr="006312C5">
        <w:rPr>
          <w:rStyle w:val="FootnoteReference"/>
          <w:i/>
          <w:iCs/>
        </w:rPr>
        <w:footnoteRef/>
      </w:r>
      <w:r w:rsidRPr="006312C5">
        <w:rPr>
          <w:i/>
          <w:iCs/>
        </w:rPr>
        <w:t xml:space="preserve"> Pašvaldībai, kuras teritorijā ir deklarētā personas dzīvesvieta, ir pienākums nodrošināt personai iespēju saņemt tās vajadzībām atbilstošus sociālos pakalpojumus un sociālo palīdzību.</w:t>
      </w:r>
    </w:p>
  </w:footnote>
  <w:footnote w:id="4">
    <w:p w14:paraId="257EC6A8" w14:textId="77777777" w:rsidR="00171A3A" w:rsidRPr="00427B55" w:rsidRDefault="00171A3A" w:rsidP="00171A3A">
      <w:pPr>
        <w:pStyle w:val="FootnoteText"/>
        <w:rPr>
          <w:lang w:val="en-US"/>
        </w:rPr>
      </w:pPr>
      <w:r>
        <w:rPr>
          <w:rStyle w:val="FootnoteReference"/>
        </w:rPr>
        <w:footnoteRef/>
      </w:r>
      <w:r>
        <w:t xml:space="preserve"> </w:t>
      </w:r>
      <w:r w:rsidRPr="00427B55">
        <w:t>Asistenta pakalpojumu piešķiršanās kārtību Latvijā reglamentē Invaliditātes likums un Ministru kabineta 2021.gada 18.maija noteikumi Nr.316 "Noteikumi par asistenta, pavadoņa un aprūpes mājās pakalpojumu personām ar invaliditāti"</w:t>
      </w:r>
    </w:p>
  </w:footnote>
  <w:footnote w:id="5">
    <w:p w14:paraId="0B97E1B1" w14:textId="77777777" w:rsidR="00171A3A" w:rsidRPr="00FA0DB9" w:rsidRDefault="00171A3A" w:rsidP="00171A3A">
      <w:pPr>
        <w:pStyle w:val="FootnoteText"/>
        <w:rPr>
          <w:lang w:val="en-US"/>
        </w:rPr>
      </w:pPr>
      <w:r>
        <w:rPr>
          <w:rStyle w:val="FootnoteReference"/>
        </w:rPr>
        <w:footnoteRef/>
      </w:r>
      <w:r>
        <w:t xml:space="preserve"> A</w:t>
      </w:r>
      <w:r w:rsidRPr="006F45B9">
        <w:t>sistenta pakalpojuma sniegšanas mērķis ir nodrošināt pārvietošanās atbalstu personām ar invaliditāti</w:t>
      </w:r>
      <w:r w:rsidRPr="006F45B9">
        <w:rPr>
          <w:shd w:val="clear" w:color="auto" w:fill="FFFFFF"/>
        </w:rPr>
        <w:t xml:space="preserve"> </w:t>
      </w:r>
      <w:r w:rsidRPr="006F45B9">
        <w:t>ārpus mājokļa (nokļūt mācību vai darba vietā, pie ārsta, lai saņemtu dažādus pakalpojumus u.c.)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1283F" w14:textId="383494AA" w:rsidR="00171A3A" w:rsidRPr="007B56E0" w:rsidRDefault="00171A3A" w:rsidP="00171A3A">
    <w:pPr>
      <w:pStyle w:val="Header"/>
      <w:jc w:val="right"/>
      <w:rPr>
        <w:rFonts w:ascii="Times New Roman" w:hAnsi="Times New Roman" w:cs="Times New Roman"/>
        <w:sz w:val="28"/>
        <w:szCs w:val="28"/>
      </w:rPr>
    </w:pPr>
    <w:r w:rsidRPr="007B56E0">
      <w:rPr>
        <w:rFonts w:ascii="Times New Roman" w:hAnsi="Times New Roman" w:cs="Times New Roman"/>
        <w:sz w:val="28"/>
        <w:szCs w:val="28"/>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A14CA"/>
    <w:multiLevelType w:val="hybridMultilevel"/>
    <w:tmpl w:val="8BB04350"/>
    <w:lvl w:ilvl="0" w:tplc="CCDC9ED0">
      <w:start w:val="1"/>
      <w:numFmt w:val="decimal"/>
      <w:lvlText w:val="%1)"/>
      <w:lvlJc w:val="left"/>
      <w:pPr>
        <w:ind w:left="720" w:hanging="360"/>
      </w:pPr>
    </w:lvl>
    <w:lvl w:ilvl="1" w:tplc="02A26B6E" w:tentative="1">
      <w:start w:val="1"/>
      <w:numFmt w:val="lowerLetter"/>
      <w:lvlText w:val="%2."/>
      <w:lvlJc w:val="left"/>
      <w:pPr>
        <w:ind w:left="1440" w:hanging="360"/>
      </w:pPr>
    </w:lvl>
    <w:lvl w:ilvl="2" w:tplc="FA2275E2" w:tentative="1">
      <w:start w:val="1"/>
      <w:numFmt w:val="lowerRoman"/>
      <w:lvlText w:val="%3."/>
      <w:lvlJc w:val="right"/>
      <w:pPr>
        <w:ind w:left="2160" w:hanging="180"/>
      </w:pPr>
    </w:lvl>
    <w:lvl w:ilvl="3" w:tplc="FAD4456C" w:tentative="1">
      <w:start w:val="1"/>
      <w:numFmt w:val="decimal"/>
      <w:lvlText w:val="%4."/>
      <w:lvlJc w:val="left"/>
      <w:pPr>
        <w:ind w:left="2880" w:hanging="360"/>
      </w:pPr>
    </w:lvl>
    <w:lvl w:ilvl="4" w:tplc="A8ECE870" w:tentative="1">
      <w:start w:val="1"/>
      <w:numFmt w:val="lowerLetter"/>
      <w:lvlText w:val="%5."/>
      <w:lvlJc w:val="left"/>
      <w:pPr>
        <w:ind w:left="3600" w:hanging="360"/>
      </w:pPr>
    </w:lvl>
    <w:lvl w:ilvl="5" w:tplc="98DE0008" w:tentative="1">
      <w:start w:val="1"/>
      <w:numFmt w:val="lowerRoman"/>
      <w:lvlText w:val="%6."/>
      <w:lvlJc w:val="right"/>
      <w:pPr>
        <w:ind w:left="4320" w:hanging="180"/>
      </w:pPr>
    </w:lvl>
    <w:lvl w:ilvl="6" w:tplc="81644A66" w:tentative="1">
      <w:start w:val="1"/>
      <w:numFmt w:val="decimal"/>
      <w:lvlText w:val="%7."/>
      <w:lvlJc w:val="left"/>
      <w:pPr>
        <w:ind w:left="5040" w:hanging="360"/>
      </w:pPr>
    </w:lvl>
    <w:lvl w:ilvl="7" w:tplc="7A76998C" w:tentative="1">
      <w:start w:val="1"/>
      <w:numFmt w:val="lowerLetter"/>
      <w:lvlText w:val="%8."/>
      <w:lvlJc w:val="left"/>
      <w:pPr>
        <w:ind w:left="5760" w:hanging="360"/>
      </w:pPr>
    </w:lvl>
    <w:lvl w:ilvl="8" w:tplc="31168642" w:tentative="1">
      <w:start w:val="1"/>
      <w:numFmt w:val="lowerRoman"/>
      <w:lvlText w:val="%9."/>
      <w:lvlJc w:val="right"/>
      <w:pPr>
        <w:ind w:left="6480" w:hanging="180"/>
      </w:pPr>
    </w:lvl>
  </w:abstractNum>
  <w:abstractNum w:abstractNumId="1" w15:restartNumberingAfterBreak="0">
    <w:nsid w:val="64194D5F"/>
    <w:multiLevelType w:val="hybridMultilevel"/>
    <w:tmpl w:val="E6FE47F4"/>
    <w:lvl w:ilvl="0" w:tplc="F14EF282">
      <w:start w:val="1"/>
      <w:numFmt w:val="decimal"/>
      <w:lvlText w:val="%1)"/>
      <w:lvlJc w:val="left"/>
      <w:pPr>
        <w:ind w:left="720" w:hanging="360"/>
      </w:pPr>
    </w:lvl>
    <w:lvl w:ilvl="1" w:tplc="F530F0EC" w:tentative="1">
      <w:start w:val="1"/>
      <w:numFmt w:val="lowerLetter"/>
      <w:lvlText w:val="%2."/>
      <w:lvlJc w:val="left"/>
      <w:pPr>
        <w:ind w:left="1440" w:hanging="360"/>
      </w:pPr>
    </w:lvl>
    <w:lvl w:ilvl="2" w:tplc="1BD4EB5E" w:tentative="1">
      <w:start w:val="1"/>
      <w:numFmt w:val="lowerRoman"/>
      <w:lvlText w:val="%3."/>
      <w:lvlJc w:val="right"/>
      <w:pPr>
        <w:ind w:left="2160" w:hanging="180"/>
      </w:pPr>
    </w:lvl>
    <w:lvl w:ilvl="3" w:tplc="F66AF044" w:tentative="1">
      <w:start w:val="1"/>
      <w:numFmt w:val="decimal"/>
      <w:lvlText w:val="%4."/>
      <w:lvlJc w:val="left"/>
      <w:pPr>
        <w:ind w:left="2880" w:hanging="360"/>
      </w:pPr>
    </w:lvl>
    <w:lvl w:ilvl="4" w:tplc="F2EA980E" w:tentative="1">
      <w:start w:val="1"/>
      <w:numFmt w:val="lowerLetter"/>
      <w:lvlText w:val="%5."/>
      <w:lvlJc w:val="left"/>
      <w:pPr>
        <w:ind w:left="3600" w:hanging="360"/>
      </w:pPr>
    </w:lvl>
    <w:lvl w:ilvl="5" w:tplc="EBDE6C1E" w:tentative="1">
      <w:start w:val="1"/>
      <w:numFmt w:val="lowerRoman"/>
      <w:lvlText w:val="%6."/>
      <w:lvlJc w:val="right"/>
      <w:pPr>
        <w:ind w:left="4320" w:hanging="180"/>
      </w:pPr>
    </w:lvl>
    <w:lvl w:ilvl="6" w:tplc="37785D18" w:tentative="1">
      <w:start w:val="1"/>
      <w:numFmt w:val="decimal"/>
      <w:lvlText w:val="%7."/>
      <w:lvlJc w:val="left"/>
      <w:pPr>
        <w:ind w:left="5040" w:hanging="360"/>
      </w:pPr>
    </w:lvl>
    <w:lvl w:ilvl="7" w:tplc="E8140E76" w:tentative="1">
      <w:start w:val="1"/>
      <w:numFmt w:val="lowerLetter"/>
      <w:lvlText w:val="%8."/>
      <w:lvlJc w:val="left"/>
      <w:pPr>
        <w:ind w:left="5760" w:hanging="360"/>
      </w:pPr>
    </w:lvl>
    <w:lvl w:ilvl="8" w:tplc="43C445B2" w:tentative="1">
      <w:start w:val="1"/>
      <w:numFmt w:val="lowerRoman"/>
      <w:lvlText w:val="%9."/>
      <w:lvlJc w:val="right"/>
      <w:pPr>
        <w:ind w:left="6480" w:hanging="180"/>
      </w:pPr>
    </w:lvl>
  </w:abstractNum>
  <w:abstractNum w:abstractNumId="2" w15:restartNumberingAfterBreak="0">
    <w:nsid w:val="671B313D"/>
    <w:multiLevelType w:val="hybridMultilevel"/>
    <w:tmpl w:val="3F96AB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9C9"/>
    <w:rsid w:val="000C25DE"/>
    <w:rsid w:val="00171A3A"/>
    <w:rsid w:val="00176467"/>
    <w:rsid w:val="0033103C"/>
    <w:rsid w:val="00384A96"/>
    <w:rsid w:val="003C751B"/>
    <w:rsid w:val="003E150E"/>
    <w:rsid w:val="006312C5"/>
    <w:rsid w:val="007B56E0"/>
    <w:rsid w:val="00AB0418"/>
    <w:rsid w:val="00BD0E39"/>
    <w:rsid w:val="00C00A79"/>
    <w:rsid w:val="00C75E5E"/>
    <w:rsid w:val="00D93F27"/>
    <w:rsid w:val="00E7318B"/>
    <w:rsid w:val="00F20165"/>
    <w:rsid w:val="00F55653"/>
    <w:rsid w:val="00FB49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EB92"/>
  <w15:chartTrackingRefBased/>
  <w15:docId w15:val="{643B04A4-560E-4A0E-900E-26824ACD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9C9"/>
    <w:rPr>
      <w:rFonts w:eastAsiaTheme="majorEastAsia" w:cstheme="majorBidi"/>
      <w:color w:val="272727" w:themeColor="text1" w:themeTint="D8"/>
    </w:rPr>
  </w:style>
  <w:style w:type="paragraph" w:styleId="Title">
    <w:name w:val="Title"/>
    <w:basedOn w:val="Normal"/>
    <w:next w:val="Normal"/>
    <w:link w:val="TitleChar"/>
    <w:uiPriority w:val="10"/>
    <w:qFormat/>
    <w:rsid w:val="00FB4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9C9"/>
    <w:pPr>
      <w:spacing w:before="160"/>
      <w:jc w:val="center"/>
    </w:pPr>
    <w:rPr>
      <w:i/>
      <w:iCs/>
      <w:color w:val="404040" w:themeColor="text1" w:themeTint="BF"/>
    </w:rPr>
  </w:style>
  <w:style w:type="character" w:customStyle="1" w:styleId="QuoteChar">
    <w:name w:val="Quote Char"/>
    <w:basedOn w:val="DefaultParagraphFont"/>
    <w:link w:val="Quote"/>
    <w:uiPriority w:val="29"/>
    <w:rsid w:val="00FB49C9"/>
    <w:rPr>
      <w:i/>
      <w:iCs/>
      <w:color w:val="404040" w:themeColor="text1" w:themeTint="BF"/>
    </w:rPr>
  </w:style>
  <w:style w:type="paragraph" w:styleId="ListParagraph">
    <w:name w:val="List Paragraph"/>
    <w:basedOn w:val="Normal"/>
    <w:uiPriority w:val="34"/>
    <w:qFormat/>
    <w:rsid w:val="00FB49C9"/>
    <w:pPr>
      <w:ind w:left="720"/>
      <w:contextualSpacing/>
    </w:pPr>
  </w:style>
  <w:style w:type="character" w:styleId="IntenseEmphasis">
    <w:name w:val="Intense Emphasis"/>
    <w:basedOn w:val="DefaultParagraphFont"/>
    <w:uiPriority w:val="21"/>
    <w:qFormat/>
    <w:rsid w:val="00FB49C9"/>
    <w:rPr>
      <w:i/>
      <w:iCs/>
      <w:color w:val="0F4761" w:themeColor="accent1" w:themeShade="BF"/>
    </w:rPr>
  </w:style>
  <w:style w:type="paragraph" w:styleId="IntenseQuote">
    <w:name w:val="Intense Quote"/>
    <w:basedOn w:val="Normal"/>
    <w:next w:val="Normal"/>
    <w:link w:val="IntenseQuoteChar"/>
    <w:uiPriority w:val="30"/>
    <w:qFormat/>
    <w:rsid w:val="00FB4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9C9"/>
    <w:rPr>
      <w:i/>
      <w:iCs/>
      <w:color w:val="0F4761" w:themeColor="accent1" w:themeShade="BF"/>
    </w:rPr>
  </w:style>
  <w:style w:type="character" w:styleId="IntenseReference">
    <w:name w:val="Intense Reference"/>
    <w:basedOn w:val="DefaultParagraphFont"/>
    <w:uiPriority w:val="32"/>
    <w:qFormat/>
    <w:rsid w:val="00FB49C9"/>
    <w:rPr>
      <w:b/>
      <w:bCs/>
      <w:smallCaps/>
      <w:color w:val="0F4761" w:themeColor="accent1" w:themeShade="BF"/>
      <w:spacing w:val="5"/>
    </w:rPr>
  </w:style>
  <w:style w:type="table" w:styleId="TableGrid">
    <w:name w:val="Table Grid"/>
    <w:basedOn w:val="TableNormal"/>
    <w:uiPriority w:val="39"/>
    <w:rsid w:val="00FB4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B49C9"/>
    <w:rPr>
      <w:color w:val="0000FF"/>
      <w:u w:val="single"/>
    </w:rPr>
  </w:style>
  <w:style w:type="paragraph" w:styleId="FootnoteText">
    <w:name w:val="footnote text"/>
    <w:basedOn w:val="Normal"/>
    <w:link w:val="FootnoteTextChar"/>
    <w:uiPriority w:val="99"/>
    <w:semiHidden/>
    <w:unhideWhenUsed/>
    <w:rsid w:val="00FB49C9"/>
    <w:pPr>
      <w:widowControl w:val="0"/>
      <w:spacing w:after="0" w:line="240" w:lineRule="auto"/>
      <w:jc w:val="both"/>
    </w:pPr>
    <w:rPr>
      <w:rFonts w:ascii="Times New Roman" w:eastAsia="Calibri"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FB49C9"/>
    <w:rPr>
      <w:rFonts w:ascii="Times New Roman" w:eastAsia="Calibri"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B49C9"/>
    <w:rPr>
      <w:vertAlign w:val="superscript"/>
    </w:rPr>
  </w:style>
  <w:style w:type="paragraph" w:styleId="Header">
    <w:name w:val="header"/>
    <w:basedOn w:val="Normal"/>
    <w:link w:val="HeaderChar"/>
    <w:uiPriority w:val="99"/>
    <w:unhideWhenUsed/>
    <w:rsid w:val="00171A3A"/>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1A3A"/>
  </w:style>
  <w:style w:type="paragraph" w:styleId="Footer">
    <w:name w:val="footer"/>
    <w:basedOn w:val="Normal"/>
    <w:link w:val="FooterChar"/>
    <w:uiPriority w:val="99"/>
    <w:unhideWhenUsed/>
    <w:rsid w:val="00171A3A"/>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1A3A"/>
  </w:style>
  <w:style w:type="paragraph" w:styleId="NoSpacing">
    <w:name w:val="No Spacing"/>
    <w:uiPriority w:val="1"/>
    <w:qFormat/>
    <w:rsid w:val="00171A3A"/>
    <w:pPr>
      <w:widowControl w:val="0"/>
      <w:spacing w:after="0" w:line="240" w:lineRule="auto"/>
      <w:jc w:val="both"/>
    </w:pPr>
    <w:rPr>
      <w:rFonts w:ascii="Times New Roman" w:eastAsia="Calibri" w:hAnsi="Times New Roman" w:cs="Times New Roman"/>
      <w:kern w:val="0"/>
      <w:sz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766839">
      <w:bodyDiv w:val="1"/>
      <w:marLeft w:val="0"/>
      <w:marRight w:val="0"/>
      <w:marTop w:val="0"/>
      <w:marBottom w:val="0"/>
      <w:divBdr>
        <w:top w:val="none" w:sz="0" w:space="0" w:color="auto"/>
        <w:left w:val="none" w:sz="0" w:space="0" w:color="auto"/>
        <w:bottom w:val="none" w:sz="0" w:space="0" w:color="auto"/>
        <w:right w:val="none" w:sz="0" w:space="0" w:color="auto"/>
      </w:divBdr>
    </w:div>
    <w:div w:id="1173956743">
      <w:bodyDiv w:val="1"/>
      <w:marLeft w:val="0"/>
      <w:marRight w:val="0"/>
      <w:marTop w:val="0"/>
      <w:marBottom w:val="0"/>
      <w:divBdr>
        <w:top w:val="none" w:sz="0" w:space="0" w:color="auto"/>
        <w:left w:val="none" w:sz="0" w:space="0" w:color="auto"/>
        <w:bottom w:val="none" w:sz="0" w:space="0" w:color="auto"/>
        <w:right w:val="none" w:sz="0" w:space="0" w:color="auto"/>
      </w:divBdr>
    </w:div>
    <w:div w:id="1278220721">
      <w:bodyDiv w:val="1"/>
      <w:marLeft w:val="0"/>
      <w:marRight w:val="0"/>
      <w:marTop w:val="0"/>
      <w:marBottom w:val="0"/>
      <w:divBdr>
        <w:top w:val="none" w:sz="0" w:space="0" w:color="auto"/>
        <w:left w:val="none" w:sz="0" w:space="0" w:color="auto"/>
        <w:bottom w:val="none" w:sz="0" w:space="0" w:color="auto"/>
        <w:right w:val="none" w:sz="0" w:space="0" w:color="auto"/>
      </w:divBdr>
    </w:div>
    <w:div w:id="1516380592">
      <w:bodyDiv w:val="1"/>
      <w:marLeft w:val="0"/>
      <w:marRight w:val="0"/>
      <w:marTop w:val="0"/>
      <w:marBottom w:val="0"/>
      <w:divBdr>
        <w:top w:val="none" w:sz="0" w:space="0" w:color="auto"/>
        <w:left w:val="none" w:sz="0" w:space="0" w:color="auto"/>
        <w:bottom w:val="none" w:sz="0" w:space="0" w:color="auto"/>
        <w:right w:val="none" w:sz="0" w:space="0" w:color="auto"/>
      </w:divBdr>
    </w:div>
    <w:div w:id="1659768146">
      <w:bodyDiv w:val="1"/>
      <w:marLeft w:val="0"/>
      <w:marRight w:val="0"/>
      <w:marTop w:val="0"/>
      <w:marBottom w:val="0"/>
      <w:divBdr>
        <w:top w:val="none" w:sz="0" w:space="0" w:color="auto"/>
        <w:left w:val="none" w:sz="0" w:space="0" w:color="auto"/>
        <w:bottom w:val="none" w:sz="0" w:space="0" w:color="auto"/>
        <w:right w:val="none" w:sz="0" w:space="0" w:color="auto"/>
      </w:divBdr>
    </w:div>
    <w:div w:id="176097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139369" TargetMode="External"/><Relationship Id="rId3" Type="http://schemas.openxmlformats.org/officeDocument/2006/relationships/settings" Target="settings.xml"/><Relationship Id="rId7" Type="http://schemas.openxmlformats.org/officeDocument/2006/relationships/hyperlink" Target="https://likumi.lv/ta/id/225418-civilliku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itania.saeima.lv/LIVS11/SaeimaLIVS11.nsf/0/67243E0DEF080476C225799F002DF447?Open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14758</Words>
  <Characters>8413</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Sniega Sniedziņa</dc:creator>
  <cp:keywords/>
  <dc:description/>
  <cp:lastModifiedBy>Dace Radzeviča</cp:lastModifiedBy>
  <cp:revision>2</cp:revision>
  <dcterms:created xsi:type="dcterms:W3CDTF">2024-09-04T05:43:00Z</dcterms:created>
  <dcterms:modified xsi:type="dcterms:W3CDTF">2024-09-04T05:43:00Z</dcterms:modified>
</cp:coreProperties>
</file>