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22-TA-828: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izdevumu pārstrukturizēšanu vakcinācijas pret Covid-19 pakalpojuma pieejamības nodrošināšanai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info_zinojums_MK_izbraukumavakcin_110322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informatīvā ziņojuma projekta II sadaļā “Priekšlikums turpmākajai rīcībai” norādītajam priekšlikuma īstenošanas laiks ir </w:t>
            </w:r>
            <w:r w:rsidR="00000000" w:rsidRPr="00000000" w:rsidDel="00000000">
              <w:rPr>
                <w:u w:val="single"/>
                <w:rtl w:val="0"/>
              </w:rPr>
              <w:t xml:space="preserve">no 2022.gada 1.februāra</w:t>
            </w:r>
            <w:r w:rsidR="00000000" w:rsidRPr="00000000" w:rsidDel="00000000">
              <w:rPr>
                <w:rtl w:val="0"/>
              </w:rPr>
              <w:t xml:space="preserve"> līdz 30.jūnijam un 2022.gada februāris ir noslēdzies, lūdzam sniegt pamatojumu jaunā maksājuma (manipulāciju) piemērošanai izbraukuma vakcinācijai </w:t>
            </w:r>
            <w:r w:rsidR="00000000" w:rsidRPr="00000000" w:rsidDel="00000000">
              <w:rPr>
                <w:u w:val="single"/>
                <w:rtl w:val="0"/>
              </w:rPr>
              <w:t xml:space="preserve">ar 2022.gada 1.februāri.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info_zinojums_MK_izbraukumavakcin_110322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 II sadaļas “Priekšlikums turpmākajai rīcībai” tabulā attiecībā par aprēķinu jaunajiem manipulācijas tarifiem “Izbraukums vakcinācijas nodrošināšanai virs 100 km vienā virzienā - ar ārstu (8h)” un “Izbraukums vakcinācijas nodrošināšanai virs 100 km vienā virzienā - ar ārsta palīgu (8h)” (5.lpp.) norādītajam var secināt, ka elementa U “Pieskaitāmās un netiešās ražošanas izmaksas, administratīvās, kā arī motivācijas riska piemaksa” un elementa N “Medicīnisko ierīču nolietojumu un transporta, degvielas izmaksas”</w:t>
            </w:r>
            <w:r w:rsidR="00000000" w:rsidRPr="00000000" w:rsidDel="00000000">
              <w:rPr>
                <w:u w:val="single"/>
                <w:rtl w:val="0"/>
              </w:rPr>
              <w:t xml:space="preserve"> izmaksas ir atkarīgas no tā, vai minētās manipulācijas veiks ārsts vai ārsta palīgs. </w:t>
            </w:r>
            <w:r w:rsidR="00000000" w:rsidRPr="00000000" w:rsidDel="00000000">
              <w:rPr>
                <w:rtl w:val="0"/>
              </w:rPr>
              <w:t xml:space="preserve">Līdz ar to nav skaidrs, kāpēc minētie elementi ir atkarīgi no pakalpojuma veicēja amata. Vienlaikus nav skaidrs, kāpēc administratīvās izmaksas ir iekļautas “U” elementā, jo administratīvās izmaksas ir paredzētas jau “A” elementā. Tādejādi nepieciešams precizēt aprēķinu vai papildināt informatīvā ziņojuma projektu ar detalizētu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info_zinojums_MK_izbraukumavakcin_110322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II sadaļā “Priekšlikums turpmākajai rīcībai” norādīts (4.lpp.), ka maksājums par vienas dienas izbraukumu, kas tālāks par 100 km no ārstniecības iestādes, </w:t>
            </w:r>
            <w:r w:rsidR="00000000" w:rsidRPr="00000000" w:rsidDel="00000000">
              <w:rPr>
                <w:u w:val="single"/>
                <w:rtl w:val="0"/>
              </w:rPr>
              <w:t xml:space="preserve">tiek rēķināts par indikatīvu 25 personu vakcināciju</w:t>
            </w:r>
            <w:r w:rsidR="00000000" w:rsidRPr="00000000" w:rsidDel="00000000">
              <w:rPr>
                <w:rtl w:val="0"/>
              </w:rPr>
              <w:t xml:space="preserve">, savukārt 5.lpp. norādīts, ka 2022. gada februārī veikti 296 vakcinācijas fakti, </w:t>
            </w:r>
            <w:r w:rsidR="00000000" w:rsidRPr="00000000" w:rsidDel="00000000">
              <w:rPr>
                <w:u w:val="single"/>
                <w:rtl w:val="0"/>
              </w:rPr>
              <w:t xml:space="preserve">kur vidēji vienā izbraukumā vakcinācijas pakalpojuma sniedzējs veicis 10 vakcinācijas faktus.</w:t>
            </w:r>
            <w:r w:rsidR="00000000" w:rsidRPr="00000000" w:rsidDel="00000000">
              <w:rPr>
                <w:rtl w:val="0"/>
              </w:rPr>
              <w:t xml:space="preserve"> Ņemot vērā, ka aprēķinā izmantotais prognozētais vakcinēto personu skaits (25 personas) ir būtiski lielāks nekā 2022.gada februārī vidējais faktiski vakcinētais personu skaits (10 personas), papildināms informatīvā ziņojuma projekts ar pamatojumu aprēķinā izmantotajam prognozētajam personu skaitam.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info_zinojums_MK_izbraukumavakcin_110322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 II sadaļā “Priekšlikums turpmākajai rīcībai” norādītajam (3.lpp.) priekšlikuma īstenošanas laiks ir no 2022.gada 1.februāra līdz 2022.gada 30.jūnijam. Ņemot vērā, ka 2022.gada februārī </w:t>
            </w:r>
            <w:r w:rsidR="00000000" w:rsidRPr="00000000" w:rsidDel="00000000">
              <w:rPr>
                <w:u w:val="single"/>
                <w:rtl w:val="0"/>
              </w:rPr>
              <w:t xml:space="preserve">jau ir notikuši 28 vienas dienas izbraukumi</w:t>
            </w:r>
            <w:r w:rsidR="00000000" w:rsidRPr="00000000" w:rsidDel="00000000">
              <w:rPr>
                <w:rtl w:val="0"/>
              </w:rPr>
              <w:t xml:space="preserve">, precizējams informatīvā ziņojuma projekta II sadaļā “Priekšlikums turpmākajai rīcībai” norādītais (7.lpp.), ka indikatīvi prognozējams, ka vakcinācijas pakalpojuma sniedzēji jauno maksājumu (manipulāciju) izmantos vidēji 225 reizes (</w:t>
            </w:r>
            <w:r w:rsidR="00000000" w:rsidRPr="00000000" w:rsidDel="00000000">
              <w:rPr>
                <w:u w:val="single"/>
                <w:rtl w:val="0"/>
              </w:rPr>
              <w:t xml:space="preserve">pieņemot, ka mēnesī vidēji tiek rīkots līdz 45 izbraukumiem uz valsts attālākajiem reģioniem</w:t>
            </w:r>
            <w:r w:rsidR="00000000" w:rsidRPr="00000000" w:rsidDel="00000000">
              <w:rPr>
                <w:rtl w:val="0"/>
              </w:rPr>
              <w:t xml:space="preserve">) laikā līdz 2022.gada 30.jūnijam. Attiecīgi precizējams informatīvā ziņojuma projektā norādītais indikatīvi nepieciešamais finansējuma apmērs. Vienlaikus lūdzam pamatot aprēķinā izmantoto vienas dienas izbraukuma vakcinācijas dienu skaitu – 45, jo 2022.gada februārī ir notikuši 28 izbraukumi.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info_zinojums_MK_izbraukumavakcin_110322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skaidrs informatīvā ziņojuma projekta II sadaļā “Priekšlikums turpmākajai rīcībai” 2.tabulas “Izbraukuma vakcinācijas 2022.gada februārī, salīdzinot esošo tarifu un jauno maksājumu (manipulāciju). Indikatīvs aprēķins” otrajā atsaucē norādītais skaidrojums - “rēķinot pēc noteiktā izbraukuma vakcinācijas tarifa, ja pirmsvakcinācijas apskati nodrošina ārsts”, ņemot vērā, ka ailē “Maksājums vakcinācijas pakalpojuma sniedzējam pēc spēkā esošā tarifa* EUR” visiem vakcinācijas faktiem aprēķinā ir piemērots tarifs 13,54 euro, kas paredz ārsta apskati. Līdz ar to precizējama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info_zinojums_MK_izbraukumavakcin_110322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II sadaļā “Priekšlikums turpmākajai rīcībai” norādīts (4.lpp.), ka maksājums par vienas dienas izbraukumu, kas tālāks par 100 km no ārstniecības iestādes, </w:t>
            </w:r>
            <w:r w:rsidR="00000000" w:rsidRPr="00000000" w:rsidDel="00000000">
              <w:rPr>
                <w:u w:val="single"/>
                <w:rtl w:val="0"/>
              </w:rPr>
              <w:t xml:space="preserve">tiek rēķināts par indikatīvu 25 personu vakcināciju</w:t>
            </w:r>
            <w:r w:rsidR="00000000" w:rsidRPr="00000000" w:rsidDel="00000000">
              <w:rPr>
                <w:rtl w:val="0"/>
              </w:rPr>
              <w:t xml:space="preserve">. Lūdzam papildināt informatīvā ziņojuma projektu ar skaidrojumu, norādot, kā tiks veikta samaksa, ja izbraukumu vakcinācijā veiks vairāk nekā 25 personu vakcināciju.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info_zinojums_MK_izbraukumavakcin_110322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projektā sanumurēt visas tabulas.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izdevumu pārstrukturizēšanu vakcinācijas pret Covid-19 pakalpojuma pieejamības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Papildināms MK sēdes protokollēmuma projekts ar jaunu punktu, nosakot, ka Veselības ministrijai normatīvajos aktos noteiktā kārtībā sagatavojami un iesniedzami izskatīšanai Ministru kabinetā rīkojuma projekti par apropriācijas pārdali no budžeta resora “74.Gadskārtējā valsts budžeta izpildes procesā pārdalāmais finansējums” programmas 12.00.00 “Finansējums veselības jomas pasākumiem Covid-19 infekcijas izplatības ierobežošanai” atbilstoši faktiski nepieciešamajam apmēram. Attiecīgi arī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izdevumu pārstrukturizēšanu vakcinācijas pret Covid-19 pakalpojuma pieejamības nodrošināšanai"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22-TA-828</w:t>
    </w:r>
    <w:r>
      <w:br/>
    </w:r>
    <w:r w:rsidR="00000000" w:rsidRPr="00000000" w:rsidDel="00000000">
      <w:rPr>
        <w:rtl w:val="0"/>
      </w:rPr>
      <w:t xml:space="preserve">08.04.2022. 16.59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22-TA-828</w:t>
    </w:r>
    <w:r>
      <w:br/>
    </w:r>
    <w:r w:rsidR="00000000" w:rsidRPr="00000000" w:rsidDel="00000000">
      <w:rPr>
        <w:rtl w:val="0"/>
      </w:rPr>
      <w:t xml:space="preserve">08.04.2022. 16.59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Izziņa_22-TA-828.docx</dc:title>
</cp:coreProperties>
</file>

<file path=docProps/custom.xml><?xml version="1.0" encoding="utf-8"?>
<Properties xmlns="http://schemas.openxmlformats.org/officeDocument/2006/custom-properties" xmlns:vt="http://schemas.openxmlformats.org/officeDocument/2006/docPropsVTypes"/>
</file>