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25-TA-1355: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līdzfinansējuma nodrošināšanu projekta “Mākslīgā intelekta rūpnīcas antena – Latvija”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2015.gada 26.maija noteikumu Nr.259 “Atbalsta piešķiršanas kārtība dalībai starptautiskās sadarbības programmās pētniecības un tehnoloģiju jomā” 5.2.apakšpunktā paredzētajam, atbalstu projekta īstenošanai piešķir, ievērojot, ka maksimāli pieļaujamais atbalsta apmērs vienam projektam nepārsniedz vienu miljonu euro gadā (izņemot dalības nodrošināšanu COST aktivitātē gada ietvaros). Ņemot vērā, ka projekta “Mākslīgā intelekta rūpnīcas antena - Latvija” īstenošanai plānotais valsts budžeta līdzfinansējuma apmērs pārsniedz iepriekš minētajos noteikumos noteikto maksimāli pieļaujamo finansējuma apmēru, nevaram atbalstīt saistību uzņemšanos lielākā apmērā nekā paredzēts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piedāvājot risinājumu, kāds jau tika izmantots mikroshēmu nacionālā kompetences centra izveides projektā. Protokollēmuma projekts ir papildināts ar jaunu punktu šādā redakcijā: "Šī protokollēmuma 2.punktā minētā projekta apstiprināšanas gadījumā, ne vēlāk kā līdz 2025.gada 31.decembrim izglītības un zinātnes ministrei iesniegt Valsts kancelejā tiesību akta projektu - grozījumus Ministru kabineta 2015.gada 26.maija noteikumos Nr.259 “Atbalsta piešķiršanas kārtība dalībai starptautiskās sadarbības programmās pētniecības un tehnoloģiju jomā” (turpmāk - noteikumi) paredzot, ka atbalstu piešķir pamatprogrammas "Apvārsnis Eiropa" kopuzņēmuma “Eiropas Augstas veiktspējas datošanas kopuzņēmums” projekta “Mākslīgā intelekta rūpnīcas antena – Latvija” īstenošanai ne vairāk kā 3 981 170 euro apmērā laika periodā no 2026. gada līdz 2028. gadam, un, ka minētā projekta īstenošanai vienā gadā piešķiramais atbalsts var pārsniegt noteikumu 5.2. apakšpunktā noteikto maksimāli pieļaujamo atbalsta apmēru vienam projektam, bet ne vairāk kā 1 400 000 euro vienā gadā sākot ar 2026. gadu trīs gadu periodam."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“Mākslīgā intelekta rūpnīcas antena - Latvija” ietvaros kā sadarbības partneri tiks iesaistītas un attiecīgi atbalstu plānots piešķirt ne tikai augstākās izglītības iestādēm, bet arī valsts budžeta iestādēm, informatīvais ziņojums ir papildināms ar informāciju, kā tiks īstenota naudas plūsma finansējuma saņēmējiem, kas ir valsts budžeta iestādes, lai nodrošinātu, ka viens un tas pats finansējums gadskārtējā valsts budžeta likumā netiek plānots 2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3.punkta apakšpunkti nodala IZM, KM un VARAM valsts budžeta pārdales pieprasījumus un apmēru, tādējādi valsts budžeta iestādēm pārdalāmie līdzekļi valsts budžetā netiek plānoti divreiz.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3.4.sadaļas “Projekta iesniegumā plānotās aktivitātes” 9.lpp ar skaidrojumu, kā Latvijas Universitāte plāno nodrošināt projekta finansiālo ilgtspēju, izstrādājot finanšu plānu un nodrošinot resursu piesaisti arī pēc projekta finansējuma beigām, norādot potenciālo finansējuma apmēru un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(8.lp) ir papildināts ar jaunu tekstu šādā redakcijā: "DP7: Ilgtspējas nodrošinājums (atbildīgs – 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darba paka paredz </w:t>
            </w:r>
            <w:r w:rsidR="00000000" w:rsidRPr="00000000" w:rsidDel="00000000">
              <w:rPr>
                <w:b w:val="1"/>
                <w:rtl w:val="0"/>
              </w:rPr>
              <w:t xml:space="preserve">izstrādāt visaptverošu ilgtspējas nodrošinājuma plānu, kas nodrošinās projekta Antena – Latvija rezultātu uzturēšanu un attīstību pēc projekta beigām, paredzot to, ka visi konsorcija partneri apņemas turpināt projekta galveno aktivitāšu īstenošanu, nodrošinot nepieciešamos resursus savas institucionālās kapacitātes ietvaros. Darba pakas ietvaros tiks arī izstrādātas ilgtspējas stratēģijas, kas ietvers valsts un privātā sektora partnerību piesaisti, integrāciju nacionālajā politikā un ilgtspējīgu pakalpojumu modeļu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26.maija noteikumu Nr.259 “Atbalsta piešķiršanas kārtība dalībai starptautiskās sadarbības programmās pētniecības un tehnoloģiju jomā” 13.1.2.apakšpunktā paredzētajam, projekta dalībniekam radušās netiešās izmaksas atsevišķu darbību nodrošināšanai nepārsniedz 25 procentus no projekta tiešo izmaksu summas, kurā nav ieskaitītas ārpakalpojumu izmaksas. Vēršam uzmanību, ka informatīvā ziņojuma 3.8. sadaļas “Projekta plānotais budžets un tā sadalījums” 21.lpp ir sniegta savstarpēji pretēja informācija par netiešo izmaksu aprēķināšanas metodiku. Ņemot vērā minēto, lūdzam precizēt informāciju par netiešo izmaksu likmes piemērošanu un aprēķināšanu.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redakcionāli precizēts (17.lp) šādā redakcijā: "Netiešās izmaksas veido 25% no tiešajām projekta izmaksām. Iesniedzot projektu EuroHPC konkursā šo izdevumu detalizācija netiek prasīta, jo netiešās izmaksas tiek aprēķinātas kā fiksēta procentuālā daļa (25%) no projekta tiešajām attiecināmajām izmaksām. Projektā plānotās netiešās izmaksas atbilst MKN 259 13.1.2. apakšpunktā noteiktajām."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informatīvā ziņojuma tekstā ir izdarīti redakcionāli precizējumi attiecībā uz netiešo izmaksu aprēķinu, paskaidrojot, ka faktiski netiešās izmaksas būs atkarīgas no ārpakalpojumu faktiskajām izmaksām, kas jāmīnuso no tiešajām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1.sadaļas “Situācijas raksturojums” 3.lpp minēts, ka Ministru kabinetam ir jāpieņem lēmums par valsts budžeta līdzfinansējuma daļas 500 000 euro  apmērā nodrošināšanu projekta Antena – Latvija ietvaros augstas veiktspējas infrastruktūras attīstīšanas aktivitātei RTU. Ņemot vērā izteikto iebildumu pie Ministru kabineta sēdes protokollēmuma projekta, lūdzam izvērtēt šīs informācijas aktualitāti informatīvajā ziņojumā. Ja tiek lemts, ka tā ir saglabājama informatīvajā ziņojumā, lūdzam novērst pretrunu, kas veidojas  attiecībā pret MK sēdes protokollēmuma projekta 3.punktā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protokollēmuma projektā ir svītrots. Attiecīgi ir precizēta informācija informatīvajā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ziņojumā iekļauto informāciju, kas paredz, ka: "</w:t>
            </w:r>
            <w:r w:rsidR="00000000" w:rsidRPr="00000000" w:rsidDel="00000000">
              <w:rPr>
                <w:i w:val="1"/>
                <w:rtl w:val="0"/>
              </w:rPr>
              <w:t xml:space="preserve">Projekta ieviešanas laikā tiks izmantoti ārpakalpojumi kas nodrošinās specifisku, augsti specializētu funkciju izpildi, kuras nav plānots veikt ar iekšējiem resursiem vai kurām nepieciešama specifiska tehnoloģiskā infrastruktūra, lai izslēgtu komercdarbības atbalstu ārpakalpojuma sniedzējiem"</w:t>
            </w:r>
            <w:r w:rsidR="00000000" w:rsidRPr="00000000" w:rsidDel="00000000">
              <w:rPr>
                <w:rtl w:val="0"/>
              </w:rPr>
              <w:t xml:space="preserve">, lūdzam informatīvo ziņojumu papildināt ar informāciju, ka preču un pakalpojuma sniedzēju izvēle notiks atklātā, paredzamā un konkurenci nodrošinošā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EuroHPC MI rūpnīcu superskaitļošanas pakalpojumi tiks īstenoti sadarbības līguma (Memorandum of Understanding) ietvaros, kurā tiks ietverti </w:t>
            </w:r>
            <w:r w:rsidR="00000000" w:rsidRPr="00000000" w:rsidDel="00000000">
              <w:rPr>
                <w:i w:val="1"/>
                <w:rtl w:val="0"/>
              </w:rPr>
              <w:t xml:space="preserve">AI Factory - Antenna</w:t>
            </w:r>
            <w:r w:rsidR="00000000" w:rsidRPr="00000000" w:rsidDel="00000000">
              <w:rPr>
                <w:rtl w:val="0"/>
              </w:rPr>
              <w:t xml:space="preserve"> sadarbības finansiālie un operacionālie nosacījumi. Sadarbības līgums tiks slēgts starp MI rūpnīcu un projekta Antena - Latvija koordinatoru, un projekta apstiprināšanas gadījumā sadarbības līgums kļūst par neatņemamu projekta ieviešanas daļu. Informatīvais ziņojums (14.lp) papildināts ar informāciju šādā redakcijā: "Projekta ieviešanas laikā tiks izmantoti gan EuroHPC MI rūpnīcu superskaitļošanas pakalpojumi, gan citi nepieciešamie ārpakalpojumi, kas nodrošinās specifisku, augsti specializētu funkciju izpildi, kuras nav plānots veikt ar iekšējiem resursiem vai kurām nepieciešama specifiska tehnoloģiskā infrastruktūra. </w:t>
            </w:r>
            <w:r w:rsidR="00000000" w:rsidRPr="00000000" w:rsidDel="00000000">
              <w:rPr>
                <w:b w:val="1"/>
                <w:rtl w:val="0"/>
              </w:rPr>
              <w:t xml:space="preserve">Attiecībā uz to ārpakalpojumu iegādi, kas netiks sniegti sadarbības līguma ar EuroHPC MI rūpnīcu ietvaros, preču un pakalpojuma sniedzēju izvēle notiks atklātā, paredzamā un konkurenci nodrošinošā procedūrā."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projekta vadošais partneris būs Rīgas Tehniskā universitāte (un attiecīgi izvērtējums, kas atbilstoši izteiktajam iebildumam ir precizējams un pilnveidojams par komercdarbības atbalsta neesamību tā līmenī, ir ietverts informatīvā ziņojuma 26. – 27.lpp.), savukārt projekta partneri būs Latvijas Universitāte, Kultūras informācijas sistēmu centrs, Viedās administrācijas un reģionālās attīstības ministrija, Valsts Digitālās attīstības aģentūra un Mākslīgā intelekta laboratorija (MILA) un Latvijas Informācijas tehnoloģiju klasteris (IT klasteris). Ņemot vērā, ka valsts budžeta līdzekļus projekta īstenošanai ir plānots piešķirt ne tikai projekta vadošajam partnerim RTU, bet arī sadarbības partneriem, lūdzam papildināt informatīvo ziņojumu ar izvērtējumu no komercdarbības atbalsta viedokļa arī attiecībā uz tiem, jo sevišķi attiecībā uz valsts budžeta līdzekļu piešķiršanu MILA un IT klasteri. Gadījumā, ja nav iespējams pamatot, ka publisko līdzekļu piešķiršana sadarbības partneriem projekta īstenošanai nav paredzēta tādu aktivitāšu veikšanai, kas nav saistītas ar saimniecisko darbību un tādējādi nav uzskatāma par komercdarbības atbalstu, lūdzam norādīt piemērojamo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publisko līdzfinansējumu (valsts budžeta līdzfinansējuma formā vai valsts atbalsta formā) tam piešķirs un izlietojuma kontroli nodrošinās Latvijas Zinātnes padome atbilstoši MKN 259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atbalstu projektam Antena – Latvija piešķir ievērojot regulas Nr. 651/2014 25.panta nosacījumus. Savukārt attiecībā uz projekta darbībām, kurām nav saimnieciska rakstura[1] un kuras ievieš institūcijas, kuras atbilst regulas Nr. 651/2014 2. panta 83. punktā noteiktajai pētniecības organizācijas definīcijai un pazīmēm, valsts atbalsta kontroles nosacījumus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nacionālā līdzfinansējuma apmēru katrai aktivitātei un īstenotājam noteiks pirms līguma par nacionālā līdzfinansējuma nodrošināšanu slēgšanas, un to pārbaudīs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izglītība, lai vairotu un uzlabotu cilvēkresursu prasmes, kas tiek nodrošināta valsts izglītības sistēmas ietvaros un galvenokārt vai pilnībā ir valsts finansēta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īstenota neatkarīga pētniecība un izstrāde ar mērķi gūt vairāk zināšanu un labāku izpratni, tostarp īstenota kopīga pētniecība un izstrāde, kad pētniecības organizācija vai pētniecības infrastruktūra iesaistās efektīvā sadarbībā. Pētniecības un izstrādes pakalpojumu sniegšana un pētniecība un izstrāde, ko veic uzņēmumu uzdevumā, netiek uzskatīta par neatkarīgu pētniecību un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 pētniecības rezultātu izplatīšana bez ekskluzivitātes un diskriminēšanas, tai skaitā izmantojot mācīšanu, brīvas piekļuves datubāzes, atklātas publikācijas vai atklātā pirmkoda programmatūru.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2.lpp. un 26. – 27.lpp. varētu secināt, ka Izglītības un zinātnes ministrijas ieskatā projekta ietvaros īstenotās aktivitātes būtu kvalificējamas kā tādas, kas nav saistītas ar saimnieciskās darbības veikšanu un tādējādi valsts budžeta finansējuma piešķiršana šim centram nebūtu kvalificējama kā komercdarbības atbalsts. Tomēr informatīvā ziņojuma 25.lpp. ir minēts, ka: “</w:t>
            </w:r>
            <w:r w:rsidR="00000000" w:rsidRPr="00000000" w:rsidDel="00000000">
              <w:rPr>
                <w:i w:val="1"/>
                <w:rtl w:val="0"/>
              </w:rPr>
              <w:t xml:space="preserve">Saskaņā ar MKN 259 4.1. apakšpunktu valsts atbalstu nodrošina atbilstoši regulas Nr. 651/2014 25. pantam.</w:t>
            </w:r>
            <w:r w:rsidR="00000000" w:rsidRPr="00000000" w:rsidDel="00000000">
              <w:rPr>
                <w:rtl w:val="0"/>
              </w:rPr>
              <w:t xml:space="preserve">”. Līdz ar to vēršam uzmanību, ka informatīvajā ziņojumā šobrīd ir sniegta pretrunīga informācija par to, vai plānotais projekts ir kvalificējams kā tāds, kuram būtu/nebūtu jāpiemēro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šobrīd informatīvajā ziņojumā norādītās plānotās projekta aktivitātes, pastāv bažas, vai tās visas ir uzskatāmas par tādam, kas nav saistītas ar saimnieciskās darbības veikšanu, un tādējādi publisko resursu piešķiršana to īstenošanai nebūtu kvalificējama kā komercdarbības atbalsts, piemēram, </w:t>
            </w:r>
            <w:r w:rsidR="00000000" w:rsidRPr="00000000" w:rsidDel="00000000">
              <w:rPr>
                <w:i w:val="1"/>
                <w:rtl w:val="0"/>
              </w:rPr>
              <w:t xml:space="preserve">izveidot visaptverošu atbalsta sistēmu, kas piedāvā algoritmisko palīdzību, apmācību programmas un lietotāju atbalstu Latvijas mākslīgā intelekta profesionāļiem; izstrādāt specializētas apmācību programmas un darbnīcas, lai paaugstinātu pētnieku, studentu un profesionāļu prasmes darbā ar MI skaitļošanas vidēm; atbalstīt mākslīgā intelekta tehnoloģiju ieviešanu dažādās nozarēs, it īpaši mākslīgā intelekta rūpnīcas antena Latvija tematiskajās jomās; nodrošināt MI lietojumu testēšanu, validāciju un pielāgošanu, īpaši tiem risinājumiem, kas ir svarīgi industrijai un publiskajam sektoram; darboties kā sadarbības centrs MI profesionāļiem, organizējot tematiskos pasākumus, hakatonus un kopprojektu darbnīcas</w:t>
            </w:r>
            <w:r w:rsidR="00000000" w:rsidRPr="00000000" w:rsidDel="00000000">
              <w:rPr>
                <w:rtl w:val="0"/>
              </w:rPr>
              <w:t xml:space="preserve">; turklāt ir norādīts, ka iepriekš minētie specifiskie mērķi ir sasniedzami, piemēram, tādās tematiskajās jomās kā </w:t>
            </w:r>
            <w:r w:rsidR="00000000" w:rsidRPr="00000000" w:rsidDel="00000000">
              <w:rPr>
                <w:i w:val="1"/>
                <w:rtl w:val="0"/>
              </w:rPr>
              <w:t xml:space="preserve">divējāda lietojuma tehnoloģijas un kosmoss</w:t>
            </w:r>
            <w:r w:rsidR="00000000" w:rsidRPr="00000000" w:rsidDel="00000000">
              <w:rPr>
                <w:rtl w:val="0"/>
              </w:rPr>
              <w:t xml:space="preserve"> un </w:t>
            </w:r>
            <w:r w:rsidR="00000000" w:rsidRPr="00000000" w:rsidDel="00000000">
              <w:rPr>
                <w:i w:val="1"/>
                <w:rtl w:val="0"/>
              </w:rPr>
              <w:t xml:space="preserve">industriālā automatizācija un digitālie dvīņi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šobrīd iekļautais izvērtējums no komercdarbības atbalsta viedokļa (skat. 27.lpp.) nav pilnīgs un nesniedz pārliecību par plānoto aktivitāšu nesaimniecisko raksturu, lūdzam to pārskatīt un precizēt atbilstoši </w:t>
            </w:r>
            <w:r w:rsidR="00000000" w:rsidRPr="00000000" w:rsidDel="00000000">
              <w:rPr>
                <w:i w:val="1"/>
                <w:rtl w:val="0"/>
              </w:rPr>
              <w:t xml:space="preserve">Ministru kabineta 2015.gada 26.maija noteikumu Nr.259 "Atbalsta piešķiršanas kārtība dalībai starptautiskās sadarbības programmās pētniecības un tehnoloģiju jomā"</w:t>
            </w:r>
            <w:r w:rsidR="00000000" w:rsidRPr="00000000" w:rsidDel="00000000">
              <w:rPr>
                <w:rtl w:val="0"/>
              </w:rPr>
              <w:t xml:space="preserve"> (turpmāk – MKN 259) 3.4. un 3.6.apakšpunktā ietvertajiem kritērijiem (kas ir atbilstoši </w:t>
            </w:r>
            <w:r w:rsidR="00000000" w:rsidRPr="00000000" w:rsidDel="00000000">
              <w:rPr>
                <w:i w:val="1"/>
                <w:rtl w:val="0"/>
              </w:rPr>
              <w:t xml:space="preserve">Komisijas paziņojuma “Nostādnes par valsts atbalstu pētniecībai, izstrādei un inovācijai” </w:t>
            </w:r>
            <w:r w:rsidR="00000000" w:rsidRPr="00000000" w:rsidDel="00000000">
              <w:rPr>
                <w:rtl w:val="0"/>
              </w:rPr>
              <w:t xml:space="preserve">19.punktam), paskaidrojot, kādēļ Izglītības un zinātnes ministrijas ieskatā projektā plānotās aktivitātes atbilst šiem kritērijiem, lai varētu secināt, ka plānotais projekts nav saistīts ar saimnieciskās darbības veikšanu. Gadījumā, ja nav iespējams izdarīt secinājumu par plānoto aktivitāšu atbilstību šiem kritērijiem vai arī šobrīd Izglītības un zinātnes ministrijas rīcībā nav pietiekama informācija, lai veiktu šādu izvērtējumu, aicinām izvērtēt iespēju publisko līdzekļu piešķiršanai visam projektam kopumā piemērot MKN 259 paredzēto komercdarbības atbalsta regulējumu, proti, Komisijas regulas Nr.651/2014 25.pantu.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informatīvā ziņojuma 27.lpp. norādītais, ka projektā plānotās aktivitātes nav kvalificējamas kā tādas, kas saistītas ar saimnieciskās darbības veikšanu, jo “</w:t>
            </w:r>
            <w:r w:rsidR="00000000" w:rsidRPr="00000000" w:rsidDel="00000000">
              <w:rPr>
                <w:i w:val="1"/>
                <w:rtl w:val="0"/>
              </w:rPr>
              <w:t xml:space="preserve">nav plānots, ka caur projektu Antena – Latvija tiks sniegts atbalsts lielajiem uzņēmumiem</w:t>
            </w:r>
            <w:r w:rsidR="00000000" w:rsidRPr="00000000" w:rsidDel="00000000">
              <w:rPr>
                <w:rtl w:val="0"/>
              </w:rPr>
              <w:t xml:space="preserve">”, nav relevants un dzēšams, jo atbalstāmo uzņēmumu izmērs nav kritērijs, lai pamatotu saimnieciskās darbības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informatīvā ziņojuma nav skaidra Mākslīgā intelekta centra (turpmāk – MIC) un projekta ietvaros plānotā jaunizveidojamā nacionāla mēroga mākslīgā intelekta kompetences un pakalpojumu centra savstarpējā korelācija. Vēršam uzmanību, ka MIC, kas ir izveidots saskaņā ar Mākslīgā intelekta centra likumu (turpmāk – Likums), atbilstoši Likumā noteiktajām funkcijām un uzdevumiem veiks tikai tādas darbības, kas nav saistītas ar saimnieciskās darbības veikšanu, tādējādi publisko līdzekļu piešķiršana MIC nav kvalificējama kā komercdarbības atbalsts. Tomēr no informatīvā ziņojuma projekta ir saprotams, ka tiks izveidots jauns subjekts, kura kompetences vismaz daļēji pārklātos arī ar MIC funkcijām un uzdevumiem, piemēram, veicināt sadarbību starp akadēmiskajām iestādēm, uzņēmējdarbības sektoru, publiskajām organizācijām un MI pētniecības kopienu, u.c. Līdz ar to, lūdzam papildināt informatīvo ziņojumu ar skaidrojumu par MIC un jaunizveidojamajā subjekta savstarpējo korelāciju, kā arī ar skaidru informāciju, vai jaunizveidojamais subjekts īstenos tikai ar saimniecisko darbību nesaistītas aktivitātes un/vai sniegs arī pakalpojumus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Mākslīgā intelekta centrs ir iekļauts kā projekta partneris ar uzdevumiem: nodrošināt MIC aktivitāšu koordinēšanu un aktīvi iesaistīties MI ekosistēmas attīstības aktivitātēs, veicinot valsts pārvaldes, industrijas un pētniecības institūciju sadarbību un inovāciju pārnesi.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projektā nav nepieciešams norādīt atsevišķas projektā “Mākslīgā intelekta rūpnīcas antena - Latvija” paredzētās aktivitātes, kā arī dublēt Ministru kabineta 2015.gada 26.maija noteikumu Nr.259 “Atbalsta piešķiršanas kārtība dalībai starptautiskās sadarbības programmās pētniecības un tehnoloģiju jomā” paredzētās normas, līdz ar to lūdzam svītrot tajā iekļautos 3. un 5.punktus. Attiecīgi ir precizējama informācija arī informatīvā ziņojuma sadaļā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un 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budžeta līdzfinansējuma nodrošināšanu projekta “Mākslīgā intelekta rūpnīcas antena – Latvija”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(VARAM) lūdz svītrot VARAM no Apvārsnis Eiropa 2021-2027 instrumenta līdzfinansētā projekta “Mākslīgā intelekta rūpnīcas antena Latvija” (Projekts) līdzfinansēto partneru saraksta, vienlaikus saglabājot atbalsta partnera lomu bez finansējuma. VARAM apliecina, ka atbalsta Projekta tālāku virzību un nepieciešamības gadījumā iesaistīties Projekta aktivitātēs, kā arī Mākslīgā intelekta ekosistēmas attīstības aktivitātēs, veicinot valsts pārvaldes, industrijas un pētniecības institūciju sadarbību un inovāciju pārnesi.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Mākslīgā intelekta centrs iekļauts kā projekta partneris. VARAM svītrota no partneru saraksta.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ar informāciju, vai projekts jau ir iesniegts vai tiks iesniegts tikai gadījumā, ja šis informatīvais ziņojums un plānotais līdzfinansējums tiek apstiprināts, kā arī lūdzam papildināt ar indikatīvu projektu vērtēšanas laika grafiku, t.i., kad varētu tikt pieņemts lēmums par projekta “Mākslīgā intelekta rūpnīcas antena – Latvija”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vērtēšanu jau bija iekļauta informatīvā ziņojuma pirmajā versijā. Tā ir papildināta ar informāciju, ka indikatīvi, ja projekts tiks apstiprināts, līguma slēgšana ar Latvijas zinātnes padomi par līdzfinansējuma daļas piešķiršanu plānota 2026.gada 1.ceturksnī.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ievaddaļā ir sniegts skaidrojums, ka projektu var iesniegt, ja tiek garantēta nacionālā līdzfinansējuma daļa 50% apmērā. šāda garantijas vēstule ir jāsniedz projekta koordinatoram. Informatīvais ziņojums ir par MK lēmuma pieņemšanu attiecībā uz nacionālā līdzfinansējuma daļu, ko paredz finansēt no valsts budžeta resursiem.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EDIC (Latvijas Informācijas tehnoloģiju klasteris) sniedz atbalstu un pakalpojumus jomā, kurā plānotas arī projekta “Mākslīgā intelekta rūpnīcas antena – Latvija” darbības, lūdzam skaidrot, kādām izmaksu pozīcijām plānots finansējums EDIC un kādi ir EDIC uzdevumi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tehnoloģiju klastera loma projektā ir aprakstīta informatīvajā ziņojumā. Projektam Antena – Latvija nacionālā līdzfinansējuma daļu (valsts budžeta līdzfinansējuma formā vai valsts atbalsta formā) tā apstiprināšanas gadījumā piešķirs atbilstoši Ministru kabineta 2015.gada 26.maija noteikumos Nr.259 “Atbalsta piešķiršanas kārtība dalībai starptautiskās sadarbības programmās pētniecības un tehnoloģiju jomā” (turpmāk – MKN 259)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informatīvajā ziņojumā informāciju par projektā “Mākslīgā intelekta rūpnīcas antena – Latvija” paredzēto darbību sinerģiju vai demarkāciju ar citu projektu plānotajām aktivitātēm, piemēram, EOSC- "Zinātniskās darbības digitalizācija un dalība Eiropas Atvērtajā zinātnes mākonī" (24-TAP-3298), kur RTU plānots kā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skaidrojumu: Projekta pieteikuma izstrādes fāzē ir veikta rūpīga analīze, un ir secināts, ka plānotās aktivitātes nepārklājas ar esošajām vai jau uzsāktajām iniciatīvām. Rīgas Tehniskā universitāte kā vadošais konsorcija partneris nodrošinās pastāvīgu aktivitāšu salīdzināšanu visa projekta ieviešanas laikā, tostarp ar citiem apstiprinātiem un īstenošanā esošiem projektiem. Nepieciešamības gadījumā tiks informēta uzraugošā iestāde par jebkādiem potenciāliem pārklāšanās vai demarkācijas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Konstekstā ar informatīvā ziņojuma 3.5. punkta "Projekta pieteikuma ietvaros plānoto pasākumu aktivitāšu sadalījums atbilstoši sadarbības partneru kompetencēm un pieejamajiem resursiem  Attēlu Nr. 2 "Projekta organizatoriskā struktūra", lūdzam izvērtēt lietderību, t.sk. no izmaksu efektivitātes aspekta, vienam projektam papildus jau projekta vadībai noteikt vairākas padomes -Mākslīgā intelekta rūpnīcas antenas padome un Konsultatīvā padome. Ziņojumā minētās funkcijas var veikt viena Konsultatīvā padome, nepieciešamības gadījumā piesaistot arī ārvalstu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(7.lp) precizēts. Attēls Nr.1 Projekta iesniegumā plānotais projekta ieviešanas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ievaddaļā (skat pirmo rindkopu) uzskaitītie projekta partneri un to skaits atšķiras no ziņojuma 3.1.punktā "Projekta iesnieguma kopsavilkums', kā arī 4.tabulā minētajiem. Aicinām IZM salāgot informatīvajā ziņojumu iekļauto informāciju par projekta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un uzskaitīti visi partneri, kas var pretendēt uz atbalstu saskaņā ar MNK 259.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budžeta līdzfinansējuma nodrošināšanu projekta “Mākslīgā intelekta rūpnīcas antena – Latvija”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projektā lietoti neatrunāti saīsinājumi, piemēram, "RTU", "IZM", “Antena – Latvija”, lūdzam atbilstoši precizēt Ministru kabineta sēdes protokollēmuma projektu, saskaņā ar juridiskās tehnikas prasībām visus projektā lietotos saīsinājumus, rakstot pirmo reizi, atšifrējot un iekavās norādot to turpmāko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budžeta līdzfinansējuma nodrošināšanu projekta “Mākslīgā intelekta rūpnīcas antena – Latvija”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25-TA-1355</w:t>
    </w:r>
    <w:r>
      <w:br/>
    </w:r>
    <w:r w:rsidR="00000000" w:rsidRPr="00000000" w:rsidDel="00000000">
      <w:rPr>
        <w:rtl w:val="0"/>
      </w:rPr>
      <w:t xml:space="preserve">18.06.2025. 19.17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25-TA-1355</w:t>
    </w:r>
    <w:r>
      <w:br/>
    </w:r>
    <w:r w:rsidR="00000000" w:rsidRPr="00000000" w:rsidDel="00000000">
      <w:rPr>
        <w:rtl w:val="0"/>
      </w:rPr>
      <w:t xml:space="preserve">18.06.2025. 19.17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Izziņa_25-TA-1355.docx</dc:title>
</cp:coreProperties>
</file>

<file path=docProps/custom.xml><?xml version="1.0" encoding="utf-8"?>
<Properties xmlns="http://schemas.openxmlformats.org/officeDocument/2006/custom-properties" xmlns:vt="http://schemas.openxmlformats.org/officeDocument/2006/docPropsVTypes"/>
</file>