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24-TA-2674: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Bērnu noziedzības novēršanas un bērnu aizsardzības pret noziedzīgiem nodarījumiem plānu 2025.-2027.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Plānā paredzēto pasākumu īstenošanu 2025. gadā nodrošināt piešķirto valsts budžeta līdzekļu ietvaros. Jautājumu par papildu valsts budžeta līdzekļu piešķiršanu 2026. un 2027.gadā plānā paredzēto pasākumu īstenošanai izskatīt Ministru kabinetā likumprojekta "Par valsts budžetu 2026. gadam un budžeta ietvaru 2026., 2027. un 2028. gadam" un turpmāko gadu sagatavošanas un izskatīšanas procesā kopā ar visu ministriju un centrālo valsts iestāžu iesniegtajiem prioritāro pasākumu pieteikumiem atbilstoši valsts budžeta finansiālajām iespējām. Ja plāna īstenošanai papildus nepieciešamā finansējuma pieprasījums netiek atbalstīts,  plānā paredzēto pasākumu īstenošanu nodrošināt atbilstoši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"Par valsts budžetu 2025. gadam un budžeta ietvaru 2025., 2026. un 2027. gadam" ir pieņemts un stājies spēkā, kā arī Eiropas Padomē ir apstiprināts Latvijas Fiskāli strukturālais plāns 2025. – 2028. gadam, kurā ir noteikta saistoša izdevumu pieauguma trajektorija, indikatīvi iespējas turpmākajos gados piešķirt papildu finanšu resursus būs ierobežotas, 2025.-2027.gadā īstenojamo pasākumu plānā var tikt iekļauti tikai tādi pasākumi, kuru īstenošanai vidēja termiņa budžetā ir paredzēts finansējums vai tiek ierosināti papildus diskrecionārie ieņēmumu pasākumi, kas kompensē papildus izdevumus. Līdz ar to plāna projektā iekļaujami tādi pasākumi, kuru īstenošanu 2025.gadā un turpmākajos gados iesaistītās institūcijas varēs nodrošināt tām piešķirto valsts budžeta līdzekļu ietvaros, attiecīgi precizējot Ministru kabineta rīkojuma projekta 3.punktu un pārskatot plāna projekta 1.1. un 1.2. pasākumu,  ievērojot to īstenošanai papildu nepieciešamā finansējuma nelielo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Plānā paredzēto pasākumu īstenošanu nodrošināt piešķirto valsts budžeta līdzekļu ietvaros.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4.2. Turpināt  sadarbības formāta ar pašvaldību iestādēm un nevalstiskajām organizācijām izveidi, lai veidotu vienotu pieeju preventīvajā darbā ar nepilngadīgajiem riska grupas bērniem (viktimizācijas un likumpārkāpumu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Tīkla izveide starp iestādēm un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r w:rsidR="00000000" w:rsidRPr="00000000" w:rsidDel="00000000">
              <w:rPr>
                <w:rtl w:val="0"/>
              </w:rPr>
              <w:t xml:space="preserve">: Izveidot sistemātisku tīklu, kurā policija, skolotāji, sociālie darbinieki un pašvaldības pārstāvji regulāri apmainās ar informāciju par bērniem, kas varētu būt pakļauti noziedzības vai vardarbības riskiem. Tīkla mērķis ir nodrošināt ātru un efektīvu iejaukšanos.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Efektīva sadarbība starp dažādām iestādēm palīdz savlaicīgi atklāt problēmas un novērst vardarbību vai noziedzīgus nodarījumus, pirms tie iegūst plašāku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2017. gada 12. septembra noteikumiem Nr. 545 “Noteikumi par institūciju sadarbību bērnu tiesību aizsardzībā” (turpmāk – Noteikumi) pašvaldības ir jābūt izveidotām starpinstitūciju sadarbības grupām, kurās institūcijas atbilstoši to kompetencē esošajiem bērnu tiesību aizsardzības jautājumiem un darbības mērķiem īsteno bērnu tiesību aizsardzību, tai skaitā apmainās ar informāciju. Sadarbības grupai  ir jāizskata  individuāli gadījumi saistībā ar iespējamiem bērna tiesību pārkāpumiem, ja ir nepieciešama ātra rīcība un vairāku institūciju sadarbība, kā arī ja radušos situāciju nav iespējams atrisināt vienas institūcijas ietvaros vai nav to izdevies atrisināt ilgstošā laikposmā; kā arī jāanalizē situācija bērnu tiesību aizsardzības jomā un jāsniedz pašvaldībai priekšlikumi novada vai republikas pilsētas bērnu tiesību aizsardzības programmas izstrādei, tostarp par nepieciešamajiem pasākumiem institūciju sadarbības sistēmas pilnveidošanai un saskaņotai un koordinētai institūciju sadarbībai.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grupas pamatsastāvā ir pašvaldības policijas pārstāvis, pašvaldības sociālā dienesta pārstāvis, pašvaldības izglītības pārvaldes vai izglītības speciālists, bāriņtiesas pārstāvis. Pēc sadarbības grupas locekļu iniciatīvas grupā var pieaicināt citu institūciju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pašvaldībās jau šobrīd ir izveidots mehānisms sadarbībai un  regulārai informācijas apmaiņai starp dažādu jomu speciālistiem, lai nodrošinātu visu iesaistīto institūciju mērķtiecīgu rīcību bērna tiesību aizsardzībā, tai skaitā, lai savlaicīgi atklāt problēmas un novērst vardarbību. Iekšlietu ministrija nesaskata nepieciešamību jauna formāta (tīkla) izveidošanai, kas darbosies paralēli un atrauti no  starpinstitūciju sadarbības grupas. Cik bieži un kādu institūciju pārstāvji tiek aicināti uz sadarbības grupām ir pašvaldību pārziņā.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Valsts policijas iecirkņos ir izstrādāti iecirkņu prevencijas rīcības plāni, kas paredz regulāri organizēt lokālā mēroga sanāksmes ar pašvaldībām, lai vērtētu iecirkņa prevencijas rīcības plānā iekļauto aktivitāšu īstenošanas progresu un apspriestu drošības aktualitātes.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4.2 pasākums ir Bērnu noziedzības novēršanas un bērnu aizsardzības pret noziedzīgu nodarījumu plāna 2023.-2024. gadam 4.3. pasākuma ietvaros Valsts policijas uzsāktā sadarbības darba turpinājums. Pasākums primāri ietver vienotas izpratnes veicināšanu un vienotas pieejas attīstību līdzīgu gadījumu risināšanā dažādās pašvaldībās. Uzdevums vērsts uz sadarbības veicināšanu un nevalstisko organizāciju iesaisti atbalsta pasākumu īstenošanā, īpaši ar tām organizācijām (piemēram, biedrība "Open radošais centrs", biedrība “Centrs Elizabete”, biedrībā "Latvijas SOS Bērnu ciematu asociācija" u.c.), kurās vēršas jaunieši, kuri pakļauti riskam izdarīt likumpārkāpumus vai ciest noziedzīgos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2023.-2024. gadam  notikušas 40 sanāksmes starp Valsts policiju, pašvaldībām un nevalstiskajām organizācijām, kurās uzturas vai vēršas bērni, kuri pakļauti riskam izdarīt likumpārkāpumu vai ciest dažādos noziedzīgos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2.7. Pilnveidot audzinoša rakstura piespiedu līdzekļu piemērošanas kārtību bērniem kriminālprocesā, pēc   iespējas mazinot bērnu pakļaušanu krimināltiesību sistēmai un tā vietā piemērojot audzinoša rakstura piespiedu līdzekļus un citus atbalsta pasākumus. Izstrādāta kārtība, kādā nepilngadīgais nosacīti atbrīvojams no kriminālatbildības, tā vietā piemērojot audzinoša rakstura piespiedu 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Nulles tolerance pret bērna izdarītiem pārkāpumiem, saglabājot iespēju laboties un izvairīties no ilgtermiņa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r w:rsidR="00000000" w:rsidRPr="00000000" w:rsidDel="00000000">
              <w:rPr>
                <w:rtl w:val="0"/>
              </w:rPr>
              <w:t xml:space="preserve"> Uzsākt politiku, kas nosaka nulles toleranci pret bērna izdarītiem noziedzīgiem pārkāpumiem, izskaidrojot bērniem, ka jebkurš likuma pārkāpums ir sodāms saskaņā ar likumu. Tomēr šī politika būtu jāīsteno ar mērķi nevis tikai sodīt, bet arī sniegt bērniem iespēju laboties, piedāvājot dažādus rehabilitācijas pasākumus, izglītojošas aktivitātes un psiholoģisko atbalstu, lai pārkāpumi nenonāktu bērna biogrāfijā kā nepārvarama šķēršļa turpmākai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Nulles tolerance palīdzētu skaidri norādīt bērniem un sabiedrībai, ka likums ir augstāks par jebkādiem pārkāpumiem, tomēr arī ir svarīgi, lai bērni saprastu, ka pārkāpumi nenozīmē viņu dzīves sabojāšanu. Ar atbilstošu atbalstu, piemēram, uzvedības korekcijas programmām un mentoru palīdzību, viņiem būtu iespēja atgriezties uz pareizā ceļa, nezaudējot sabiedrības uzticību un neiegūstot “noziedznieka” statusu, kas varētu negatīvi ietekmēt viņu nākotni.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Risinājums</w:t>
            </w:r>
            <w:r w:rsidR="00000000" w:rsidRPr="00000000" w:rsidDel="00000000">
              <w:rPr>
                <w:rtl w:val="0"/>
              </w:rPr>
              <w:t xml:space="preserve">: Ja bērns ir izdarījis pārkāpumu, jānodrošina ātra un efektīva reakcija, piemēram, pārrunas ar vecākiem, preventīvie pasākumi un nepieciešamības gadījumā arī īstermiņa aizturēšana vai līdzīgas procedūras, kas ir piemērotas konkrētajai situācijai. Tajā pašā laikā bērnam ir jābūt nodrošinātam ar izglītojošiem resursiem, kas palīdzēs viņam saprast pārkāpuma sekas un veikt korekcijas uzvedībā.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2.7. mērķis nav radīt bērnos nesodāmības sajūtu, bet tieši tā kā minēts iebildumā sniegt bērniem iespēju laboties, nodrošinot iespēju izmantot katram konkrētam gadījumam atbilstošus audzinoša rakstura piespiedu līdzekļus, kas veicina antisociālas uzvedības cēloņu mazināšanos un bērna atturēšanos no atkārtotu likumpārkāpumu izdarīšanas, vienlaikus paredzot, lai izdarītais likumpārkāpums nenonāktu bērna biogrāfijā kā nepārvarams šķērslis turpmākai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iecerēts īstenot izmaiņas pastāvošajā tiesiskajā regulējumā, pēc iespējas mazinot bērnu pakļaušanu krimināltiesību sistēmai un tos novirzīt uz audzinošajiem piespiedu līdzekļiem un atbalsta pasākumiem. Uzskatām, ka izmaiņas normatīvajā regulējumā spētu sniegt vērtīgus ieguvumus bērna attīstībā un resocializācijā.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jāņem vērā, ka šie grozījumi ir tikai viena daļa no visas nepieciešamās sistēmas pilnveides. Piekrītam, ka ir nepieciešami arī informatīva rakstura pasākumi, tai skaitā izglītošana, pārrunas ar bērniem un vecākiem u.c.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liela nozīme ir Labklājības ministrijas, Veselības ministrijas (obligātā ārstēšana no atkarībām, ģimenes ārstu sadarbība ar pašvaldību sociālajiem dienestiem) jomas pakalpojumiem un to attīstībai, kā arī dažādu problēmjautājumu risināšanai, tāpat būtiska ir Izglītības un zinātnes ministrijas jomas jautājumu risināšana darbā ar bērniem, jauniešiem, kā arī pašvaldības dienestu (darbam ar ģimenēm un bērniem) kapacitātes stiprināšana. Daudzi no šiem jautājumi jau tiek risināti citu politikas plānošanas dokumentu ietvaros, kuros ietverti uzdevumi un pasākumi, kas ir vērsti vai var ietekmēt bērnu un pret bērniem izdarīto likumpārkāpumu risku novēršanu un aizsardzības faktoru stiprināšanu (Plāna projekta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 šiem pasākumiem iespējams diskutēt un lemt pie 2.5. pasākuma izpildes, kas paredz likumā "Par audzinoša rakstura piespiedu līdzekļu piemērošanu bērniem" integrēt audzinoša rakstura piespiedu līdzekli – bērna ievietošana "Bērnu un jauniešu drošajā mājā".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Jāsaprot, ka likums "Par audzinoša rakstura piespiedu līdzekļu piemērošanu bērniem" ir šaurāka tvēruma normatīvais akts, kas paredz valsts, pašvaldības reakciju uz bērna izdarīto pārkāpumu, noziedzīgo nodarījumu. Plašākā kontekstā sociālā darba metodēs balstīts darbs ar bērniem, ģimenēm, kas ir riska bērni un riska ģimenes, paredzēts atbilstoši Bērnu tiesību aizsardzības likuma 58. pantā noteiktajam regulējumam. Valsts kontroles ieteikumu kontekstā nepieciešams vairāk pievērsties cēloņiem, kādēļ bērni veic darbības, kas kaitē viņiem pašiem un citiem (veselības, dzīvības apdraudējumi) un sniegt atbalstu, nevis koncentrēties uz "bērna 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antisociālas uzvedības visbiežākie cēloņi ir: Nelabvēlīga vide ģimenē; Bērns ir ticis pakļauts emocionālai un fiziskai vardarbībai ģimenē (t.sk. vardarbība partneru starpā), skolā; Vienaudžu ietekme (mobings, atstumšana); Konflikti skolā; Bērna un vecāku veselības stāvoklis.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katrā konkrētā gadījumā veikt izvērtējumu, lai rastu risinājumu identificētajām problēmām (riskiem un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Jāsaprot, ka sods kā reakcija uz likumpārkāpumu, iepriekš minētos cēloņus nerisina un bērna situācija paliek nemainīga. Tādējādi netiek ievērotas bērna labākās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bērnu tiesību aizsardzības likuma 58. pantu “Likumpārkāpumu profilakses darba organizācija“ pašvaldībām ir noteikts pienākums veikt likumpārkāpumu profilakses darbu ar bērniem, tai skaitā ar bērniem, kas izdarījuši likumpārkāpumus. Likums paredz pašvaldības pienākumu iesaistīties bērna uzvedības problēmu risināšanā un izstrādāt uzvedības sociālās korekcijas programmu jau agrīni, kamēr bērns vēl nav izdarījis likumpārkāpumus.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2.6. Pilnveidot Bērnu tiesību aizsardzības likuma 58. pantā ietverto regulējumu par pašvaldību profilakses darbu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profilakses darba pilnveide ar bērniem ir nepieciešama, taču tās praktiska īstenošana bez skaidriem kritērijiem un juridiskas aizsardzības speciālistiem var kļūt neefektīva vai pat problemātiska. Lai gan mērķis ir sākt darbu ar bērnu un viņa ģimeni pirms prettiesiskas rīcības izdarīšanas, nav noteikts, kā identificēt šādu situāciju un kādos gadījumos pašvaldībai būtu jāiesaistās. Nav izstrādāta metodoloģija, kas objektīvi noteiktu riska apstākļus, un pašvaldībai nav iespēju un pilnvaru uzraudzīt visas ģimenes.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Sociālie dienesti daudzviet Latvijā jau šobrīd saskaras ar nepietiekamu kapacitāti, kas apgrūtina preventīvo darbu, savukārt bez skaidra regulējuma institūciju sadarbībā un informācijas apritē atbalsta sniegšana var būt novēlota un neefektīva. Ja profilakses sistēma nebalstīsies uz skaidriem kritērijiem un brīvprātīgu sadarbību, pastāv risks, ka sociālās institūcijas tiks uztvertas kā represīvs mehānisms, kas stigmatizē ģimenes un attur tās no palīdzības meklēšanas. Vienlaikus sociālo pakalpojumu sniedzēji var baidīties ziņot par bērna risku prettiesiskai rīcībai, jo pašlaik normatīvajos aktos nav paredzēta tiesiskā aizsardzība speciālistiem, kuri identificē un ziņo par šādiem gadījumiem. Tas var radīt situāciju, kurā riska faktori tiek ignorēti vai sociālās korekcijas darbs tiek veikts tikai formāli, lai izvairītos no iespējamām sūdzībām vai juridiskas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profilakses sistēma būtu efektīva, nepieciešams skaidri noteikt pašvaldību rīcības mehānismu, precīzi definēt institūciju sadarbību un informācijas aprites kārtību, kā arī nodrošināt tiesisko aizsardzību speciālistiem, kuri identificē un ziņo par bērniem riska situācijās. Profilakses pasākumiem jākoncentrējas uz savlaicīgu atbalstu ģimenei, vienlaikus saglabājot līdzsvaru starp palīdzību un sociālās korekcijas pasākumiem, lai bērnam nodrošinātu pilnvērtīgas attīstības iespējas un sabiedrība būtu pasargāta no iespējamās prettiesiskas rīcības.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Uzlabota redakcija: Pilnveidot Bērnu tiesību aizsardzības likuma 58. pantā noteikto pašvaldību profilakses darbu, nosakot skaidrus kritērijus, pašvaldību rīcības mehānismus, institūciju sadarbību un speciālistu tiesisko aizsardzību, lai darbs ar bērnu un viņa ģimeni tiktu uzsākts savlaicīgi, balstoties uz objektīviem riskiem un nodrošinot efektīvu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Bērnu tiesību aizsardzības likuma 58. pantā jau ir izstrādāti un apspriesti saskaņošanas sanāksmē, tuvākajās dienās tiks neoficiāli nosūtīta pēc sanāksmes precizētā grozījumu redakcija. Sanāksmē tika panākta vienošanās, ka secīgi notiks darbs arī pie Ministru kabinet noteikumu projekta izstrādes, kur būs atrunāti vispārīgi jautājumi par to, kā notiek risku vienota novērtēšana un atbalsta plāna sagatavošana, pārskatīšana.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iekļautais uzdevums izriet no Valsts kontroles revīzijas ziņojuma un tiek izpildīts tādā kontekstā, kādā to norādījusi Valsts kontrole.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2.4. Izstrādāt rīcības algoritmu darbā ar bērniem, kas nav sasnieguši 14 gadu vecumu un ir veikuši smagus vai sevišķi smagus noziedzīgus nodarījumus.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plānā paredzētā rīcības algoritma izstrāde darbam ar bērniem, kuri nav sasnieguši 14 gadu vecumu un ir veikuši smagus vai sevišķi smagus noziedzīgus nodarījumus, nav iespējama, jo nav skaidri definēts mehānisms, kā Valsts policija šādos gadījumos nodod bērnu pašvaldības aprūpē pēc atteikuma uzsākt kriminālprocesu. Nav noteikts, kā bērns nonāk pašvaldības gādībā, kā tiek organizēts viņa tālākais atbalsts un kādas tieši institūcijas ir atbildīgas par konkrētiem soļiem.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audzinoša rakstura piespiedu līdzekļu piemērošanu bērniem” 4. panta 3.1punkts jau paredz, ka audzinoša rakstura piespiedu līdzekļus iespējams piemērot bērniem, kuri izdarījuši Krimināllikumā paredzētu nodarījumu, bet nav sasnieguši 14 gadu vecumu, un attiecībā uz kuriem procesuāli pilnvarota amatpersona pieņēmusi lēmumu atteikt kriminālprocesa uzsākšanu un nosūtījusi materiālus resoriskai pārbaudei. Tas nozīmē, ka šāda veida jautājumu risināšana jau normatīvi iespējama un piemērojama no 11 gadu vecuma, tomēr bērniem, kas jaunāki par 11 gadiem, būtu nepieciešama cita veida pieeja.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bērnu vecumu un uztveres īpatnības, vienota tipveida algoritma izstrāde nebūtu efektīva, jo katrs gadījums ir individuāls un prasa pielāgotu rīcības modeli. Šādos gadījumos būtu nepieciešams nodrošināt krīzes intervences pakalpojumu vai piesaistīt Bērnu aizsardzības centru, kas varētu izvērtēt bērna vajadzības un koordinēt piemērotus sociālās korekcijas pasākumus. Tikai pēc šo pakalpojumu un iestāžu piesaistes būtu iespējams veidot konkrētu rīcības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skaidrs, kā tiek organizēta sadarbība starp Valsts policiju un citām institūcijām šāda pārkāpuma konstatēšanas gadījumā. Pēc atteikuma uzsākt kriminālprocesu bērns faktiski tiek “nodots” pašvaldības gādībā, taču nav noteikts, kādā veidā šis process tiek īstenots un kā tiek nodrošināta viņa turpmākā uzraudzība. Nepastāv skaidrs mehānisms, kādā veidā pašvaldība pārņem atbildību par bērnu un kā tiek organizēts sociālās korekcijas darbs.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sistēmu, nepieciešams precīzi definēt institūciju lomas un sadarbības mehānismu, nosakot, kā tiek pieņemts lēmums par bērna tālāko uzraudzību un kā notiek informācijas apmaiņa starp Valsts policiju, pašvaldību un citām iesaistītajām iestādēm. Tāpat jāparedz, ka bērniem, kas jaunāki par 11 gadiem, būtu piemērojami nevis audzinoša rakstura piespiedu līdzekļi, bet gan specializēti krīzes intervences mehānismi, kas nodrošina nepieciešamo atbalstu un rehabilitāciju. Bez skaidras tiesiskās bāzes un precīza rīcības mehānisma šī norma būs deklaratīva un praktiski neīstenojama.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tādēļ, kā norādīts iebildumā:"Lai nodrošinātu efektīvu sistēmu, nepieciešams precīzi definēt institūciju lomas un sadarbības mehānismu.." plāna projektā ir iekļauts 2.4.pasākums.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saskaņā ar likumu “Par audzinoša rakstura piespiedu līdzekļu piemērošanu bērniem” lietas materiāli ir nosūtāmi tiesai audzinoša rakstura piespiedu līdzekļu piemērošanai vecumposmā no 11-14 gadu vecuma sasniegšanai. Bet likumā paredzētie audzinoša rakstura piespiedu līdzekļi ir nepietiekami jeb nepilnīgi. Tieši tādēļ ir nepieciešama diskusija un ,iespējams, grozījumi normatīvajā regulējumā. Pasākuma ietvaros nav plānots tipveida algoritms, bet gan rīcības modelis sadarbībai. Rīcības modelis nedefinēs nepieciešamos intervences vai atbalsta pakalpojumus, bet garantēs, lai darbs pašvaldībās ar šiem bērniem tiek veikts. Lai tiek piesaistīti un rasti attiecīgi pierādījumos balstīti pakalpojumi, jo pretējā gadījumā Bērnu tiesību aizsardzības likuma 58.pantā paredzētais pašvaldību pienākums veikt  likumpārkāpumu profilakses darbu ar bērniem paliks tikai deklaratīvs.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piekrīt, ka katrs gadījums ir individuāls un prasa pielāgotu rīcības modeli, un tas ir sadarbības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policija nenodod bērnu pašvaldības gādībā. Bērns pašvaldības gādībā atrodas nepārtraukti. Policija nevienā situācijā nepārņem bērnu aprūpē, bet reaģē uz izdarītu likumpārkāpumu. Informācijas aprite noris saskaņā ar tiesisko regulējumu, informāciju nododot pašvaldībai caur Nepilngadīgo personu atbalsta informācijas sistēmu. Policija “nenodod bērnu pašvaldības aprūpē pēc atteikuma uzsākt kriminālprocesu”, bērns tiek atstāts likumisko pārstāvju aprūpē. Savukārt Bērnu tiesību aizsardzības likuma 58.pants jau paredz pašvaldību pienākumu veikt  likumpārkāpumu profilakses darbu ar bērniem sadarbībā ar bērnu vecākiem, izglītības iestādēm, valsts policiju, Valsts probācijas dienestu, ja bērns ir probācijas klients, sabiedriskajām organizācijām un citām iestādēm. Pašvaldība profilakses lietu iekārto un uzvedības sociālās korekcijas programmu izstrādā katram bērnam, kurš cita starpā izdarījis Krimināllikumā paredzētās prettiesiskās darbības pirms 14 gadu vecuma sasniegšanas. Jautājums vienlaikus ir  skatāms ar Tieslietu ministrijas aktivitātēm saistībā ar  Bērnu tiesību aizsardzības likuma 58. pantā ietvertā regulējuma par pašvaldību profilakses darbu ar bērniem pilnveidošanas, kā arī  "Bērnu un jauniešu drošā māja" augsta riska bērniem un jauniešiem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pasākuma redakcija: "Izstrādāt rīcības modeli darbā ar bērniem, kas nav sasnieguši 14 gadu vecumu un ir veikuši smagus vai sevišķi smagus noziedzīgus nodarījumus"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1.7. un 1.8.punktos noteiktais jau šobrīd izglītības iestādēs tiek īstenots, saskaņā ar MK 22.08.2023. noteikumiem Nr. 474 "Kārtība, kādā nodrošināma izglītojamo profilaktiskā veselības aprūpe, pirmā palīdzība un drošība izglītības iestādēs un to organizētajos pasākumos", tāpēc plānā "izglītības iestādes" aizstāt ar "pašvaldība".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punkts: Saskaņā ar Ministru kabineta 2016.gada 19.aprīļa noteikumiem Nr. 238 “Ugunsdrošības noteikumi” 192.punktu – praktiskās nodarbības ir jāorganizē atbildīgajai personai ne retāk kā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dienesta (VUGD) ieskatā nav nepieciešams papildus pa vidu iesaistīt pašvaldības (*neattiecas uz gadījumiem, kad atbildīgā persona ir pašvaldības pārstāvis). Tas iesaistītajām iestādēm vairos tikai administratīvo slogu, t.sk., iespējams, kaut kādā mērā var ierobežot izglītības iestāžu iespējas izlemt – kad šīs nodarbības novadīt.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punkts: VUGD neīsteno izglītības iestādēs nodarbības sadarbojoties ar pašvaldībām jeb ar pašvaldību iesaisti/ atbalstu. Dienesta nodarbinātie vēršas pie izglītības iestādēm visā Latvijā,  ierosinot un piedāvājot konkrētā laika posmā (piem., februārī, kad tiek atzīmēta 112 diena) apmeklēt konkrēto izglītības iestādi, lai tās audzēkņus izglītotu par drošības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tad, ja izglītības iestāde atzīst piedāvātās lekcijas par noderīgām konkrētajā laika posmā, tās tiek novadītas.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ieskatā – ja vispirms būs jāvēršas pašvaldībā ar ierosinājumu VUGD nodarbinātajiem vadīt lekcijas konkrētās pašvaldības izglītības iestādēs, tas visām iesaistītajām pusēm tikai palielinās administratīvo slogu, t.sk., paildzinās savstarpējo komunikāciju.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Mēdz būt gadījumi, kad arī pašas izglītības iestādes vēršas pie Dienesta, lai noskaidrotu, vai būtu iespējams, ka VUGD nodarbinātie novada nodarbības/ lekcijas par drošības jautājumiem. Arī šajos gadījumos, Dienesta ieskatā nebūtu lietderīgi iesaistīt pašvaldības – tieši to pašu iemeslu dēļ, kas minēti iepriekš, t.i., iesaistot šajā procesā trešo pusi, varam panākt tikai to, ka palielināsies administratīvais slogs un komunikācijas ilgums.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 iesaistot šajos procesos pašvaldības, potenciāli var iestāties risks, ka, piemēram, pašvaldības un izglītības iestādes viedokļi par nodarbību vai lekciju nepieciešamību/ tēmu var atšķirties. Dienesta ieskatā ir jāļauj pašām izglītības iestādēm lemt – kurā brīdī un kādas tēmas lekcijas vai nodarbības viņi var salāgot ar saviem mācību plāniem un procesiem.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Plāna 1.5.punktā noteiktā "Nodrošināt izglītības iestāžu vadības komandas profesionālo pilnveidi, piedāvājot apgūt programmu "Vardarbības risku pārvaldība izglītības iestādēs"" obligātumu un nepieciešamību 1 x gadā novadīt šādu programmu izglītības iestāžu vadības komandai.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paredz, ka programmu īsteno 3 gadu periodā noziedzības novēršanas plāna ietvaros, nodrošinot programmas pieejamību noteiktā  laika periodā, tādējādi arī nodrošinot iespēju apgūt programmu visu izglītības iestāžu vadības komandām. Nosacījums nenosaka to, ka obligāti katru gadu vadības komandām jāapgūst noteiktā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"Ikgadēji tiek nodrošināta 18 akadēmisko stundu pedagogu profesionālās kompetences pilnveides programma vadības komandām par vardarbības risku pārvaldību. Izglītoto dalībnieku skaits gadā nav mazāks par 100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visā dokumentā nomainīt iestādes VISC nosaukumu, kas no 01.01.2025. vairs neeksistē, to aizvietojot ar VIAA, kas ir funkciju pārņēmējs.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dokumentā "VISC" nomainīts uz "VIAA".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2.3.iekļauto punktu vēršam uzmanību,  ka minētajai aktivitātei nav noteikts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saprotams ar kādu tiesību aktu izstrādi, grozījumiem vai projektu u.tml. īstenošanu, minētā aktivitāte ir saistāma.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Rīgas valstspilsētas Labklājības Departamenta pārstāvji piedalās Veselības ministrijas izveidotajā Atkarību izplatības mazināšanas pilnveidošanas ekspertu apakšgrupā un vadības grupā, kurā tiek gatavots Informatīvais ziņojums par pilotprojektu Rīgā nepilngadīgo obligātās narkoloģiskās ārstēšanas noteikšanai un  veselības aprūpes pakalpojumu uzlabošanai Rīgā. Piloprojekta mērķgrupa ir nepilngadīgie ar smagām atkarībām, kuri nav motivēti ārstēties un kuriem nav pietiekama atbalsta ģimenē vai arī ārpus ģimenes aprūpē un kuri nonākuši ārstniecības iestādē atkarības vielu ietekmē Rīgā. Pilotprojekta īstenošanas rezultātus  un labo praksi ir plānots multiplicēt citās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precizēt 2.3. punktā minēto aktivitāti, sasaistot to ar Informatīvajā ziņojumā plānoto un noteikt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attiecībā uz pasākuma termiņu ir ņemts vērā. Pasākumam noteikts īstenošanas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2.3. punktā minētās aktivitātes precizēšanu, sasaistot to ar Informatīvajā ziņojumā plānoto,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ar Veselības ministrijas 2024. gada 23. augusta rīkojumu Nr. 01-01.1/139 tika izveidota Starpinstitūciju darba grupa operatīvu jautājumu nepilngadīgo atkarību mazināšanas jomā risināšanai un darba grupas ekspertu apakšgrupa.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Plāna 2.3. pasākums nav saistīts ar Darba grupā veikto situācijas izvērtējumu un piedāvātajiem ekspertu risinājumiem, tostarp plānoto pilotprojektu integrētai pieejai - pakalpojumu pieejamības uzlabošanai Rīgā nepilngadīgajiem, kuri pārmērīgi lieto atkarību izraisošas vielas. Vēršam uzmanību, ka minētais pilotprojekts paredz risinājumu nepārtrauktas narkoloģiskās palīdzības sniegšanai sākot no akūtā perioda stacionārā līdz nepilngadīgā atgriešanai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2.3. ir saistīts ar Sabiedrības veselības pamatnostādņu 2021. – 2027. gadam rīcības virzienu 1.3., kas paredz mazināt dažāda veida atkarību izraisošo vielu lietošanu un procesu atkarības, īstenojot vienotu atkarību mazināšanas politiku. Vienlaikus vēršam uzmanību, ka zem minētā 1.3. uzdevuma pamatnostādnēs ir paredzēts gan turpināt vispārējās atkarību profilakses īstenošanu, gan arī selektīvās un indicētās profilakses pasākumu īstenošanu, kur VM plāno turpināt jau iepriekšējā ESF periodā īstenotos pasākumus, kas tika pilotēti, bet netika ieviesti pilnībā visā Latvijā, piemēram, Unplugged vai Veselīgas nākotnes programma. Tik arī vērtēta iespēja nodrošināt papildus apmācības pašvaldību darbiniekiem personām ar vielu lietošanas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2.2. iekļauto punktu, informējam, ka Rīgas valstspilsētas Labklājības  departaments 2024.gadā veica darbības atbilstoši VK darbības plāna minētā pakalpojuma ieviešanai, t.sk., kopā ar Labklājības ministriju izstrādāja minētā pakalpojuma dizainu. Vienlaikus Departamenta rīcībā ir informācija, ka 2025.gada valsts budžetā finansējums šī pakalpojuma pilotprojekta īstenošanai netika atbalstīts, turklāt Departamenta rīcībā nav arī informācijas par iespējamo pilotprojekta īstenošanas vietu Rīgas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rosinām 2.2.punktā minēto aktivitāti izslēgt vai arī mainīt aktivitātes izpildes termiņu, jo 2025.gadā šī aktivitāte, ņemot vērā iepriekšminēto, nav īstenojama.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Mainīts pasākuma izpildes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ātrākus izpildes termiņus pasākumiem 2.4., 2.7., 2.11., 3.2. un 3.3., ņemot vērā paredzamos būtiskos ieguvumus bērnu labklājībai un tiesību aizsardzībai, kā arī šo pasākumu atbilstību vienai no Ministru prezidentes noteiktajām 2025. gada Ministru kabineta prioritātēm: atbalstam ģimenēm.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mainīts tikai 3.3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pasākumu īstenošanu atbildīgās institūcijas vēlreiz pārskatīja pasākumu īstenošanas termiņus, pasākumu īstenošanai veicamos darbus un pieejamos resursus, un nesaskatīja iespējas termiņu maiņai. Tomēr iespēju robežās tiks darīts viss, lai pasākumi tiktu īstenoti ātrāk.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izpildes termiņus ar precizitāti līdz pusgadam pasākumiem 1.3., 1.4., 2.5. un 2.7.-2.14.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pasākumu izpildes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15. augusta sēdes protokollēmuma (Nr. 40, 43.§) 43.punktā ir uzdots - Labklājības ministrijai (turpmāk – ministrija) sadarbībā ar Izglītības un zinātnes ministriju, Veselības ministriju, Satiksmes ministriju un Tieslietu ministriju [SB1] izstrādāt un līdz 2024.gada 30.maijam iesniegt Ministru kabinetā informatīvo ziņojumu par atbalsta pasākumiem bāreņiem un bez vecāku gādības palikušiem bērniem pēc pilngadības sasniegšanas (līdz 21 gada vecuma sasniegšanai vai, ja mācās vispārējās izglītības vai profesionālās izglītības iestādē vai studē augstākajā izglītības iestādē, tostarp koledžā, - līdz 24 gadu vecuma sasniegšanai) labklājības, izglītības, veselības un  tiesību īstenošanas un uzraudzības jomā, īpašu uzmanību pievēršot maksas atvieglojumiem un pieejamības veicināšanai minēto personu izglītošanai, medicīnisko un juridisko pakalpojumu saņemšanai, transporta nodrošināšanai, kā arī iespējai tikt nodarbinātai.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minētā uzdevuma izpildei ir izstrādāts informatīvai ziņojums “Par atbalsta pasākumiem bāreņiem un bez vecāku gādības palikušiem bērniem pēc pilngadības sasniegšanas”, kurš atrodas saskaņošanas procesā Tiesību aktu portālā (TAPā 24-TA-2594).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ziņojums nosaka virkni papildus atbalsta pasākumu bērniem pēc ārpusģimenes aprūpes, lai garantētu iespējami saudzīgāku pāreju uz neatkarīgu dzīvi, kas tai skaitā pēc ziņojumā minētā paredz preventīvu atbalstu bērnu pasargāšanai no atkarībām, mentālās veselības problēmām piedzīvotas un veiktas vardarbības, kā arī samazina likumpārkāpumu risku nākotnē, lūdzam plānā iekļaut minēto ministriju atbalsta pasākumu īstenošanu, apjomā, kas tiks apstiprināts ar attiecīgu Ministru kabineta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 rīcības virzienu papildināt ar šādu pasākumu: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Turpināt atbalsta sistēmas pilnveidi bāreņiem un bez vecāku gādības palikušiem bērniem pēc pilngadības sasniegšanas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Izstrādāts informatīvais ziņojums “Par atbalsta pasākumiem bāreņiem un bez vecāku gādības palikušiem bērniem pēc pilngadības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Apstiprināts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LM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IZM, VM, SM, TM, VARAM,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31.12.2025.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un tā avoti: Likumā par valsts budžetu kārtējam gadam paredzēto finanšu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 ar jaunu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pasākumu plāna 3.3.pasākumu “Mācību programmas izstrāde par strukturētu un daļēji strukturētu vadlīniju pielietošanu nepilngadīgo nopratināšanā” vēršam uzmanību, ka, ņemot vērā Labklājības ministrijas iebildumu par 3.2.pasākumu, būtu svarīgi, ka mācību programma, ja tāda tiek izstrādāta, tiek veidota uz jau esošo vadlīniju bāzes (NICHD izmeklēšanas intervijas protokola vadlīnijas), ņemot vērā, ka tās veidojuši četri augstākā līmeņa Latvijas eksperti. Ja tomēr Iekšlietu ministrija uzskata, ka šāda pieeja nav atbalstāma, lūdzam plānā sniegt skaidrojumu konstatētajām problēmām, t.sk. Iekšlietu ministrijas identificētajiem NICHD izmeklēšanas intervijas protokola vadlīniju trūkumiem, kurs Iekšlietu ministrija plāno novērst ar 3.3.pasākumu. Ja Iekšlietu ministrija nav konstatējusi trūkumus NICHD izmeklēšanas intervijas protokola vadlīnijās, tad uzskatām, ka 3.3.pasākuma īstenošana potenciāli varētu būtu līdzekļu nelietderīga izmantošana, veicot uzdevumu, kas jau nupat ir ticis veikts. Papildus vēršam uzmanību, ka šāda kompetence (t.sk. mācību programmas izstrāde par strukturētu un daļēji strukturētu vadlīniju pielietošanu nepilngadīgo nopratināšanā) ir noteikta starpinstitucionālās sadarbības programmai “Bērna māja” saskaņā ar Ministru kabineta 2023.gada 24.oktobra noteikumu nr.608 “Kārtība, kādā tiek īstenota starpinstitucionālās sadarbības programma "Bērna māja"” 4.1.apakšpunktu.  Patlaban 3.3.pasākumā nav nekādas norādes par to, ka pasākums tiktu īstenots sadarbībā ar starpinstitucionālās sadarbības programmu “Bērna māja”. Uzskatām, ka Valsts policijai un Bērnu aizsardzības centram kā starpinstitucionālās sadarbības programmas "Bērna māja" nodrošinātājam būtu jādarbojas kopā šādu mācību veidošanā – vismaz, lai tās tiek veidotas pēc vienām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norādīts kā līdzatbildīgā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koledžā (turpmāk – VPK), atbilstoši Noziedzības novēršanas plāna 3.3.pasākumam, paredzēts izstrādāt procesa virzītājam speciālu apmācības programmu “Nepilngadīgo cietušo pratināšana” (turpmāk – apmācības programma). Apmācības programmas saturs nodrošinās, ka procesa virzītājiem, kuri izmeklē krimināllietas, kur iesaistītas nepilngadīgas cietušas personas ir speciālas zināšanas darbā ar nepilngadīgajiem kriminālprocesā, atbilstoši starptautiskās direktīvās (piem., Cietušo tiesību direktīva) un konvencijās (piem., Lansarotes konvencija) noteiktām prasībām. Apmācības programma tiks izstrādāta, ņemot vērā starptautisko praksi, t.sk., NICHD izmeklēšanas intervijas vadlīnijas. Apmācības programmas izstrādē tiks piesaistīti vadošie eksperti bērnu nopratināšanas jomā Latvijā, t.sk., NICHD izmeklēšanas intervijas protokola vadlīniju autori.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VPK ir Valsts policijas pakļautībā esoša profesionālā augstākā izglītības iestāde. Valsts policijas koledža ir vienīgā izglītības iestāde Latvijā, kuras pamatuzdevums ir kvalitatīvi sagatavot policistus profesionālajam dienestam Valsts policijā.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VPK vērš uzmanību, ka programmas izstrādē tiks iesaistīti augsta līmeņa eksperti, kuriem ir ne tikai teorētiskas zināšanas un akadēmiskā darba pieredze, bet arī liela praktiskā pieredze darbā ar bērniem kriminālprocesā.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3.2.pasākums “Izstrādāt īpaši aizsargājamo cietušo – nepilngadīgo, nopratināšanas vadlīnijas” ir ticis īstenots Eiropas Ekonomikas zonas finanšu instrumenta 2014. - 2021. gada programmas “Starptautiskā policijas sadarbība un noziedzības apkarošana” projekta “Atbalsts Barnahus ieviešanai Latvijā” ietvaros - ir izstrādātas un pielāgotas Latvijas vajadzībām NICHD pratināšanas vadlīnijas (NICHD izmeklēšanas intervijas protokola vadlīnijas https://www.lm.gov.lv/lv/media/26109/download?attachment; NICHD izmeklēšanas intervijas protokola zinātniskais un praktiskais pamatojums, izmantošanai nepilngadīgo nopratināšanā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https://www.lm.gov.lv/lv/media/26112/download?attachment). Ievērojot minēto, nav saprotams, kādēļ plānā tiek plānots īstenot tādu pašu aktivitāti atkārtoti. Uzskatām, ka nav jārada jauns dokuments, kurš potenciāli varētu nonākt pretrunā ar praksi, kādā pratina, piemēram starpinstitucionālās sadarbības programmām “Bērna māja”. Uzskatām, ka praktiķiem un ekspertiem būtu pareizāk apvienot spēkus, lai esošās vadlīnijas (NICHD izmeklēšanas intervijas protokola vadlīnijas) kļūtu par vispārzināmu un pielietotu praksi. Ievērojot  minēto, lūdzam precizēt pasākumu, kā arī papildināt plānu ar informāciju, kā plānots šo plāna pasākumu īstenot kopsakarā ar NICHD izmeklēšanas intervijas protokola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neparedz jaunu pratināšanas vadlīniju, kas aizstātu NICHD protokolu,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NICHD protokols ir viens no pasaules praksē atzītām un empīriski pamatotām strukturētās pratināšanas vadlīnijām, kuras izveidotas nosakot noteiktu pratināšanas struktūru un taktiku, bet neietver ar izmeklēšanu saistītu pasākumu nozīmi un izpildījumu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NICHD protokola autori norāda, ka šis protokols ir lietojams dinamiski darbā ar nepilngadīgajiem īpaši aizsargājamiem cietušajiem. Savukārt pētījumi atklāj šī protokola ierobežojumus (piem., protokolā ietvertās instrukcijas visi bērni nesaprot un nespēj ievērot pratināšanas laikā). Turklāt NICHD protokols neietver Kriminālprocesa likuma normas (piemēram, NICHID protokols neparedz izskaidrot procesuālās tiesības un pienākumus; neparedz veidu kādā nepilngadīgajam intervijas laikā varētu uzrādīt noteiktus materiālus), kuras nepieciešams ievērot izmeklēšanas procesā. Tādēļ pasaules praksē izmeklēšanas iestādes sadarbībā ar nozares profesionāļiem izstrādā vienotu normatīvos aktos un pētījumos balstītu metodisko materiālu izmeklētājiem darbā ar nepilngadīgo īpaši aizsargājamo cietušo, tai skaitā lieciniekiem, kriminālprocesa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veidot vienotu normatīvos aktos un empīriskos pētījumos balstītu nepilngadīgo īpaši aizsargājamo cietušo nopratināšanas praksi pirmstiesas izmeklēšanā, veicinot izmeklēšanas kvalitātes paaugstināšanu un bērnu labāko interešu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pasākuma redakcija: "Izstrādāt metodisko materiālu izmeklētājiem darbā ar nepilngadīgajiem cietušajiem un lieciniekiem kriminālprocesā". Papildināta projekta 2.1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pasākumu plāna 3.1.pasākumu lūdzam ietvert informāciju par Valsts policijas plāniem saistībā ar nopratināšanas telpu  aprīkošanu ar tehniskajiem līdzekļiem skaņas un attēla ieraksta nodrošināšanai. Lūdzam plāna projektā sniegt skaidrojumu, kā 3.1.pasākums ietekmēs starpinstitucionālās sadarbības programmas "Bērna māja” un no 2026.un 2027.gada arī programmas filiāļu izmantošanu noziedzīgos nodarījumos cietušo bērnu nopratināšanai. Lūdzam plānā sniegt informāciju, kā 3.1.pasākumā plānots nodrošināt saskaņotību ar starpinstitucionālās sadarbības programmu "Bērna māja” un plānotajiem paplašināšanas darbiem uz reģioniem.  Vienlaikus lūdzam 3.1.pasākuma nosaukumu izteikt šādi: “Īpaši aizsargājamu cietušo nopratināšanas telpas aprīkot ar tehniskajiem līdzekļiem skaņas un attēla ieraksta nodrošināšanai. Iegādāties  pārvietojamos skaņas un attēla ieraksta tehniskos līdzekļus Valsts policijas reģionu pārvaldēm/iecirkņiem, kuros nav iespējams izveidot speciālas īpaši aizsargājamu cietušo nopratināšanas telpas”. Nopratināšanas telpas Valsts policija visticamāk izmantos ne tikai, lai nopratinātu cietušos bērnus, bet arī citas personu kategorijas. Tādēļ rosinām lietot terminu “īpaši aizsargājami cietušie”, lai termins aptvertu arī vardarbībā cietušās sievietes, cietušos ar garīga rakstura traucējumiem u.c.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Kriminālprocesa likuma (KPL) 152. panta “Nepilngadīgā pratināšanas īpašības” un KPL 153. pantā “Nepilngadīgās personas pratināšana ar psihologa starpniecību” tika noteikts, ka jebkura nepilngadīgā (neatkarīgi no procesuālā statusa)  pratināšanas norises gaitu fiksēs skaņu un attēlu ierakstā. Lai nodrošinātu iespēju bērnam piemērotā vidē, Kriminālprocesa likumā noteiktajā kārtībā, veikt bērna nopratināšanu, Valsts policijas telpas un ieraksta nodrošināšanai tehniskie līdzekļi tiek uzlaboti (modernizēti) un iespēju robežās telpas pielāgotas radot bērnam draudzīgāku vidi. Valsts policijas telpu aprīkošana ar skaņu un attēla ierakstu tehniku neskar  Bērna mājas darbu un tās darbības paplašināšanu reģionos.  Turklāt  “Bērnu mājā” nonāk šaurs cietušo bērnu loks, bet Valsts policijai ir jāpratina arī bērni, kas cietuši no citiem noziedzīgiem nodarījumiem, kā arī liecinieki un aizdomās turētie.  Katra procesuālā dalībnieka statusa nopratināšana ir atšķirīga. Vēršam uzmanību, ka Bērnu  mājai ir ierobežots darba laiks (darba dienas no plkst.9.00-17.00), bet Valsts policijas telpu izmantošana ir paredzēta visu diennakti, kas atbilst Valsts policijas darba specifikai un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pasākums tiek īstenots IDF projekta ietvaros, tā redakcija tiek precizēta atbilstoši projektā paredzētajam:   "Speciālu nopratināšanas telpu, kuras piemērotas nepilngadīgo cietušo nopratināšanai kriminālprocesā, aprīkošana  ar tehniskajiem līdzekļiem skaņas un attēla ieraksta nodrošināšanai". Tiek papildināta Plāna projekta 2.1.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pasākumu plānu 3.rīcības virzienā “3.Rīcības virziens:  Darbs ar CIETUŠAJIEM bērniem lieciniekiem un cietušo bērnu un liecinieku  atbalsta sistēmas pilnveide (terciārā prevencija)” ar jaunu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3.rīcības virzienā “3.Rīcības virziens:  Darbs ar CIETUŠAJIEM bērniem lieciniekiem un cietušo bērnu un liecinieku  atbalsta sistēmas pilnveide (terciārā prevencija)” pievienot šādu pasākumu: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Latvijas reģionos ieviest starpinstitucionālās sadarbības programmas "Bērna māja” filiāles;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 bērniem Latvijas reģionos pieejama starpinstitucionālās sadarbības programmas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ieviesta viena jauna filiāle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LM (BAC);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TM, IeM, VM, VP, prokuratūra, valsts sabiedrības ar ierobežotu atbildību "Bērnu klīniskā universitātes slimnīca", biedrība "Latvijas Bērnu labklājības tīkls", Valsts tiesu medicīnas ekspertīzes centrs, Psihologu sertifikācijas padome,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01.01.2026.-31.12.2027.;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un tā avoti: likumā par valsts budžetu kārtējam gadam paredzēto finanšu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 ar jaunu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2.4. pasākums paredz izstrādāt rīcības algoritmu darbā ar bērniem, kas nav sasnieguši 14 gadu vecumu un ir veikuši smagus vai sevišķi smagus noziedzīgus nodarījumus. Kā atbildīgā par pasākuma izpildi norādīta Tieslietu ministrija un secīgi Labklājības ministrija. Kā darbības rezultāts norādīts izstrādāts rīcības modelis darbam ar nepilngadīgajiem, bērniem tiek piemēroti uzvedības riskiem un vajadzībām atbilstoši pakalpojumi. Vēršam uzmanību uz to, ka atbilstoši Ministru kabineta 2017. gada 16. augusta noteikumos Nr.474 "Tieslietu ministrijas nolikums" noteiktajai Tieslietu ministrijas kompetencei Tieslietu ministrija izstrādā, organizē un koordinē politiku kriminālsodu un administratīvo sodu sistēmā un sodu izpildē, bet nav iestāde, kas ir tiesību normu piemērotāja darbam ar bērniem, kas nav sasnieguši 14 gadu vecumu. Rīcības algoritmus darbā ar bērniem izstrādā iestādes, kas ir tiesību normu piemērotājas. Ievērojot minēto, lūdzam nenorādīt Tieslietu ministriju kā atbildīgo iestādi par pasākumu plāna 2.4.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Tieslietu ministrijas vadībā notiek darbs pie  audzinoša rakstura piespiedu līdzekļu  sistēmas  pilnveidošanas.  Turklāt 2.4. pasākums  ir cieši saistīts ar 2.5.pasākumu "Audzinoša rakstura piespiedu līdzekļa – ievietošana sociālās korekcijas izglītības iestādē – likvidēšana. "Bērnu un jauniešu drošās mājas" augsta riska bērniem un jauniešiem izveidošana un integrēšana audzinoša rakstura piespiedu līdzekļu sistēmā", par kura īstenošanu atbildīgā institūcija ir Tieslietu ministrija, līdz ar to ir likumsakarīgi, ka arī par 2.4.pasākumu kā atbildīgā institūcija ir nosakāma Tieslietu ministrija.  Rīcības modeļa izstrāde nav skatāma un vērtējama atrauti no attiecīgu grozījumu Audzinoša rakstura piespiedu līdzekļu likumā pieņemšanas un ieviešanas. Turklāt  Saeimas Juridiskās komisijas 2024. gada 30. janvāra sēdē, izskatot  jautājums par darbu ar augsta riska bērniem un jauniešiem, Tieslietu ministrijai tika dots uzdevums sniegt redzējumu par pakalpojumu nodrošināšanu bērniem un jauniešiem, kuri izdara likumpārkāpumus, nesasniedzot likumā paredzēto atbildības vecumu.  Rīcības modeļa iestrādē ir būtisks Tieslietu ministrijas veiktais izvērtējums un redzējums par  pastāvošiem pakalpojumiem, kuri varētu kalpot par pamatu jaunā individuālā pakalpojuma ieviešanai, kas būtu piemērots bērniem, kas izdara smagus un sevišķi smagus noziedzīgus nodarījumus.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2.5. pasākumā kā darbības rezultāts ir norādīts: Bērniem netiek piemērotas sodoša rakstura sankcijas, bet gan uzvedības riskiem un vajadzībām atbilstoši audzinoša rakstura piespiedu līdzekļi. Tiek izveidota "Bērnu un jauniešu drošā māja" augsta riska bērniem un jauniešiem. Lūdzam precizēt darbības rezultātā norādīto informāciju, izvairoties no formulējuma “bērniem netiek piemērotas sodoša rakstura sankcijas”. Attiecībā uz administratīvo sodu atcelšanu bērniem likumdevējs šādu iniciatīvu līdz šim nav atbalstījis. Turklāt ir jāņem vērā, ka arī turpmāk tiks saglabāta iespēja piemērot kriminālatbildību par bērnu izdarītajiem noziedzīgajiem nodarījumiem. Tālab nav paredzēts pilnībā atteikties no sodoša rakstura sankcijām bērniem. Vienlaikus tiks turpināts darbs pie atbalsta sistēmas pilnveidošanas un audzinoša rakstura piespiedu līdzekļu bērniem sistēmas 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pasākuma  un darbības rezultāta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saīsinājumu tabulā nav atrodams saīsinājums BLSP, kurš parādās 4. rīcības virziena 4.1. pasākuma rezultatīvajā rādītājā. Lūdzam pārskatīt arī citus saīsinājumus un salāgot ar pasākumu plāna saīsinājumu tabulu.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saīsinājumu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Lūgums pārskatīt Apakšmērķa nr.1 (4.lpp.) formulējumu. "izglītības iestādes" būtu jāmin pakārtoti, nevis uzsverot tās prioritāri. Esošais formulējums var radīt maldinošu priekšstatu par Plāna uzdevumiem, jo Plāns pēc būtības izglītības iestādes skar pastarpināti. Izglītības iestādēs tiek nodrošināta droša vide, pamatojoties uz 22.08.2023. MK noteikumiem Nr. 474 "Kārtība, kādā nodrošināma izglītojamo profilaktiskā veselības aprūpe, pirmā palīdzība un drošība izglītības iestādēs un to organizētajos pasākumos". Uz minēto noteikumu pamata visas izglītības iestādes Latvijā izstrādā savus iekšējās kārtības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mainīt "Apakšmērķa" Nr.1 formulējumu, minot prioritāri "kopienās/apkaimēs", tās rakstot daudzskaitlī, kā arī "izglītības iestādes" rakstīt </w:t>
            </w:r>
            <w:r w:rsidR="00000000" w:rsidRPr="00000000" w:rsidDel="00000000">
              <w:rPr>
                <w:b w:val="1"/>
                <w:rtl w:val="0"/>
              </w:rPr>
              <w:t xml:space="preserve">aiz</w:t>
            </w:r>
            <w:r w:rsidR="00000000" w:rsidRPr="00000000" w:rsidDel="00000000">
              <w:rPr>
                <w:rtl w:val="0"/>
              </w:rPr>
              <w:t xml:space="preserve"> "kopienās/apkaimēs", minot "t.sk. izglītības iestādēs". Piedāvātā redakcija: "</w:t>
            </w:r>
            <w:r w:rsidR="00000000" w:rsidRPr="00000000" w:rsidDel="00000000">
              <w:rPr>
                <w:b w:val="1"/>
                <w:rtl w:val="0"/>
              </w:rPr>
              <w:t xml:space="preserve">Veicināt drošu vidi pašvaldību kopienās/apkaimēs, t.sk. izglītības iestādēs </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2.11. Kriminālsodu izpildē tiek izmantoti bērnu vecumposmam atbilstoši instrumenti un darba metodes/pieejas.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nav iekļauti veicamie pasākumi saistībā ar bērnu izdarītajiem Administratīvajiem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Sabiedriskie darbi kā preventīvs pasākums bērnu pārkāpumu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Ieteikt, lai pašvaldību administratīvās komisijas, izskatot bērnu izdarītos pārkāpumus, varētu piemērot sabiedriskos darbus kā alternatīvu soda veidu, sniedzot bērniem iespēju atbildēt par savu rīcību un tajā pašā laikā veikt pozitīvu ieguldījumu sabiedrībā. Sabiedriskie darbi būtu jānosaka atbilstoši bērna vecumam un pārkāpuma nopietnībai, lai tie būtu izglītojoši un atbilstoši bērna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Sabiedriskie darbi var būt efektīvs veids, kā bērnam atgūt sabiedrības uzticību, vienlaikus ļaujot viņam veikt sociāli derīgu darbu, kas palīdz viņam izprast atbildību un sekas. Tas var būt arī vērtīgs solis viņa uzvedības korekcijas procesā, izvairoties no stingrākiem sodiem un sniedzot iespēju pozitīvi ietekmēt viņa turpmāko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Risinājums:</w:t>
            </w:r>
            <w:r w:rsidR="00000000" w:rsidRPr="00000000" w:rsidDel="00000000">
              <w:rPr>
                <w:rtl w:val="0"/>
              </w:rPr>
              <w:t xml:space="preserve"> Sabiedriskie darbi var ietvert dažādas aktivitātes, piemēram, palīdzību labdarības organizācijām, sakopšanas darbus sabiedriskajās vietās, dalību izglītojošās programmās vai citus līdzīgus uzdevumus, kas attiecīgi veicina bērna atbildību, iegūstot sociāli derīgas prasmes. Tāpat ir jānodrošina, lai šāds pasākums būtu uzraudzīts un piemērots bērna vecumam, lai tas veicinātu pozitīvu izmaiņu attīstību, nevis papildus stresu vai traumas.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2.11. pasākums ir saistīts ar 2.5. un 2.7 pasākumiem un tiek īstenots kriminālsodu politikas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likums neparedz sodu sabiedriskais darbs ne pieaugušajiem, ne bērniem.  Sabiedriskais darbs kā sods ir paredzēts tikai par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Sabiedriskais darbs kā audzinoša rakstura piespiedu līdzeklis ir paredzēts likumā “Par Audzinoša rakstura piespiedu līdzekļu piemērošanu bērniem”, bet to nevar piemērot par pārkāpumiem un to piemērot var tikai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Bērniem, kas izdarījuši administratīvo pārkāpumu, iespējams piemērot piespiedu līdzekli: uzlikt par pienākumu ar savu darbu novērst radītā kaitējuma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līdzeklis bērnam palīdz aizdomāties par izdarīto darbību sekām, palīdz labāk izprast cēloņsakarību starp darbību un sekām. Bērnam ir iespējas ar savu darbu izlabot nodarīto. Šādam līdzeklim kaut nedaudz var saskatīt kaut kādu lietderību, lai arī pareizāk būtu, ka bērns pats brīvprātīgi vēlas novērst radītās sekas, līdzdarboties.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Ļoti būtiski norādīt, ka bērni izdara pārkāpumus pilnīgi citu iemeslu dēļ nekā pieaugušie, līdz ar to bērniem ir nepieciešama pilnīgi cita pieeja, reaģējot uz izdarītajiem pārkāpumiem, koncentrējoties, nevis uz to, ko viņš izdarīja, bet gan, kāpēc, kādi ir cēloņi, motivācija. Visbiežāk tās ir neapmierinātas bērna sociālās, izglītības un veselības vajadzības, līdz ar to būtiski stiprināt sociālās palīdzības un atbalsta sistēmu, radīt pakalpojumus bērniem, stiprināt pašvaldību dienestu kapacitāti darbam ar ģimenēm un bērniem, nevis koncentrēties uz formālu pievēršanos bērna izdarītajam un domāt, kā viņu "pārmācīt". Paralēli ļoti būtiski saprast, ka vajadzīga ģimenes situācijas izvērtēšana un darbs ar ģimeni (plašākā nozīmē), skolu.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komisija šo piespiedu līdzekli nevar piemērot piespiedu kārtā. Piespiedu kārtā to var piemērot tikai tiesa. Administratīvo pārkāpumu jomā tiesa šobrīd nepiemēro ne sodus, ne audzinoša rakstura piespiedu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tas arī nebūtu samērīgi ar administratīvo pārkāpumu raksturu un smagumu kā tādu.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plāna 1.5.punktu: Ikgadēji tiek nodrošināta 18 akadēmisko stundu pedagogu profesionālās kompetences pilnveides programma vadības komandām par vardarbības risku pārvaldību. Izglītoto dalībnieku skaits gadā nav mazāks par 100 dalībniekiem, to papildinot ar informāciju par MK 2018. gada 11. septembra noteikumiem Nr.569 "Noteikumi par pedagogiem nepieciešamo izglītību un profesionālo kvalifikāciju un pedagogu profesionālās kompetences pilnveides kārtību" sekojoši. Tādā veidā nodrošinot, ka ir saprotams, ka, atbilstoši šo noteikumu 15.punktam, 15. [...] pedagogs (arī izglītības iestādes administrācija ir pedagogi) ir atbildīgs par savas profesionālās kompetences pilnveidi. Profesionālo kompetenci pilnveido, triju gadu laikā apgūstot programmu vismaz 36 stundu apjomā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Ikgadēji tiek nodrošināta 18 akadēmisko stundu pedagogu profesionālās kompetences pilnveides programma vadības komandām par vardarbības risku pārvaldību, </w:t>
            </w:r>
            <w:r w:rsidR="00000000" w:rsidRPr="00000000" w:rsidDel="00000000">
              <w:rPr>
                <w:b w:val="1"/>
                <w:rtl w:val="0"/>
              </w:rPr>
              <w:t xml:space="preserve">saskaņā ar normatīvo aktu par pedagogu profesionālās kompetences pilnveides kārtību.</w:t>
            </w:r>
            <w:r w:rsidR="00000000" w:rsidRPr="00000000" w:rsidDel="00000000">
              <w:rPr>
                <w:rtl w:val="0"/>
              </w:rPr>
              <w:t xml:space="preserve"> Izglītoto dalībnieku skaits gadā nav mazāks par 100 dalībniekiem.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rezultatīvais rādītājs izteikts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"Ikgadēji tiek nodrošināta 18 akadēmisko stundu pedagogu profesionālās kompetences pilnveides programma vadības komandām par vardarbības risku pārvaldību, saskaņā ar spēkā esošiem ārējiem noteikumiem par pedagogiem nepieciešamo izglītību un profesionālo kvalifikāciju un pedagogu profesionālās kompetences pilnveides kārtību. Izglītoto dalībnieku skaits gadā nav mazāks par 100 dalībniekiem"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plāna 3. sadaļas 2.3 punktu ar atsauci uz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4.1.2.4. “Pierādījumos balstītu narkotiku lietošanas profilakses programmu īstenošana un profilakses kvalitātes standartu ieviešana” un  4.1.2.8. "Nevalstisko organizāciju iesaiste veselības veicināšanas un slimību profilakses pasākumu īstenošanā"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Veselīgas nākotnes programmas ieviešana plānota no SAM 4.1.2.1. Savukārt zem šī SAM 4.1.2.4. “Pierādījumos balstītu narkotiku lietošanas profilakses programmu īstenošana un profilakses kvalitātes standartu ieviešana” ir paredzēta labas uzvedības spēles programmas pilotēšana, kas nav indicētās profilakses programma, tāpat paredzēti kursi EUPC par atkarību profilaksi. Ņemot vērā minēto atsauce uz SAM 4.1.2.4. netiek pievienota.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2.6. pasākuma plānotā rezultatīvā rādītāja redakciju, dzēšot vārdus "Pašvaldību prakses maiņa". Likuma grozījumi paši par sevi nenodrošinās noturīgas jaunas prakses izveidi, vienlaicīgi pašvaldību prakses maiņa ir grūti izmērāms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 grozījumi Bērnu tiesību aizsardzības likuma 58. pantā, kas nosaka skaidru rīcības algoritmu pašvaldībās, kad to rīcībā ir informācija, kas liecina par to, ka bērna uzvedība var novest pie prettiesiskas rīcības. Atbilstoša atbalsta un palīdzības pakalpojumu sniegšana bērnam un viņa likumiskajiem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Tieslietu ministrijas izstrādātais likumprojekts "Grozījumi Bērnu tiesību aizsardzības likumā" saistībā ar 58. panta uzlabošanu no Tieslietu ministrijas puses ir tīri likuma principu līmeņa juridisku jautājumu noregulēšana, savukārt praktiskais darbs (sociālā darba metodēs balstīts) pašvaldībās nav Tieslietu ministrijas kompetencē ietilpstošs jautājums, ļoti būtiski, ka atbilstoši grozījumu būtībai arī tiek izstrādāti jau konkrēti Ministru kabineta noteikumi un mainīta likuma piemērošanas prakse tiktāl, ciktāl tā neatbilst jaunajam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pašvaldību prakses maiņa ir nepieciešama saistībā ar Valsts kontroles lietderības revīzijas "Vai bērnam ar uzvedības problēmām un tā ģimenei ir iespēja saņemt nepieciešamo atbalstu?" rezultātā 2022. gadā sagatavotajā revīzijas ziņojumā ""Problēmbērni" – pieaugušo neizdarību spogulis" doto ieteikumu, tai skaitā Labklājības ministrijai izvērtēt iespēju likumā mainīt pieeju, ka darbs ar bērnu un tā ģimeni primāri ir atbalsta sniegšana ģimenei, nevis bērna uzvedības sociālā korekcija, tā veicinot bērna un tā ģimenes uzticēšanos atbildīgajām iestādēm, lai atbalsts tiktu saņemts savlaicīgi, nevis pēc atbildīgo institūciju pieprasījuma. Līdz ar to ieteikuma ieviešana praksē nozīmētu arī pašvaldību prakses maiņu (lai nepaliktu tā, kā ir tagad).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Atbilstoši pastāvošām problēmām un esošai situācijai, pašvaldībās izstrādāt likumpārkāpumu prevencijas plānus.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4.3. apakšpunkta esošo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Balstoties uz datiem par esošo situāciju pašvaldībā</w:t>
            </w:r>
            <w:r w:rsidR="00000000" w:rsidRPr="00000000" w:rsidDel="00000000">
              <w:rPr>
                <w:rtl w:val="0"/>
              </w:rPr>
              <w:t xml:space="preserve"> un pastāvošajām problēmām, izstrādāt likumpārkāpumu prevencijas plānus.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4.3 pasākuma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4.1. Regulāra situācijas par nepilngadīgo noziedzības stāvokli, noziedzīgos nodarījumos cietušajiem bērniem, kā arī noziedzības novēršanas problēmām, apzināšana un analīze.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4.1. apakšpunkta esošo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Regulāra situācijas par nepilngadīgo noziedzības stāvokli, noziedzīgos nodarījumos cietušajiem bērniem, kā arī noziedzības novēršanas problēmām, apzināšana, analīze   </w:t>
            </w:r>
            <w:r w:rsidR="00000000" w:rsidRPr="00000000" w:rsidDel="00000000">
              <w:rPr>
                <w:b w:val="1"/>
                <w:u w:val="single"/>
                <w:rtl w:val="0"/>
              </w:rPr>
              <w:t xml:space="preserve">un katras pašvaldības informēšana par situāciju konkrētajā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apakšpunktā norādīts, ka pašvaldībām jāizstrādā likumpārkāpumu prevencijas plāni, ko mērķtiecīgi būtu izstrādāt pamatojoties uz datiem, jo līdz šim dažādu pašvaldības iestāžu saņemtie dati par bērniem, kas veikuši noziedzīgus nodarījumus vai bērniem, kas cietuši no noziedzīgiem nodarījumiem ir nepilnīgi un sadrumstaloti. Publiski pieejami ir dati par vispārējo situāciju valstī šajā jomā. Šādu datu analīzi būtu nepieciešams veikt regulāri, nevis 1 reizi gadā publiskajā pārskatā.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gatavo pārskatu par kopēju situāciju valstī bērnu noziedzības un cietušo bērnu jomā. Pārskatā netiek analizēta un vērtēta situācija atsevišķi katrā pašvaldībā, kā arī Iekšlietu ministrijas rīcībā nav resursu šādas analīzes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piekrīt, ka likumpārkāpumu prevencijas pasākumu plānošana pašvaldībās ir jāveic balstoties uz situācijas izpēti un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66.pants nosaka pašvaldībām analizēt stāvokli bērna tiesību ievērošanas jomā, izstrādāt un īstenot bērna tiesību aizsardzības programmu pašvaldības administratīvajā teritorijā. Likumpārkāpumu prevencija ir neatraujama no bērnu tiesību aizsardzības, attiecīgi pašvaldībām sadarbībā ar policiju, izglītības iestādēm, sociālo dienestu u.c. kompetentajām iestādēm pašām ir jāanalizē esošā situācija savā pašvaldībā un attiecīgi jāplāno pasākumi, kas būtu vērsti uz savlaicīgu likumpārkāpumu novēršanu, apzinot riska faktorus un plānojot proaktīvus pasākumus, lai savlaicīgi novērstu iespējamu uzvedības problēmu rašanos un likumpārkāpumu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pašvaldības Sadarbības grupas uzdevums ir analizēt kopējo situāciju bērnu tiesību aizsardzības jomā un sniegt pašvaldībai priekšlikumus bērnu tiesību aizsardzības programmas izstrādei, tostarp par nepieciešamajiem pasākumiem institūciju sadarbības sistēmas pilnveidošanai un saskaņotai un koordinētai institūciju sadarbībai.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iecirkņos ir izstrādāti iecirkņu prevencijas rīcības plāni, kuros ir iekļauti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Iesaistīt pašvaldības iecirkņa prevencijas rīcības plānā iekļauto aktivitāšu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Regulāri organizēt lokālā mēroga sanāksmes ar pašvaldībām, lai vērtētu plānoto aktivitāšu īstenošanas progresu un apspriestu drošības aktualitātes.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atskaitēs norādītajiem datiem 2024.gadā sadarbībā tika iesaistīts 81% no visām Latvijas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2024.gadā tika organizētas 228 sanāksmes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iecirkņu prevencijas rīcības plāni un tajos iekļaujamie uzdevumi tiek izstrādāti, pamatojoties uz vispārēju datu analīzi (Elektronisko notikumu žurnālā), par apkalpojamajā teritorijā notikušajiem noziedzīgiem nodarījumiem, salīdzinot notikumu tendences 3-5 gadu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4.1. apakšpunkta esošo redakciju  - "Regulāra situācijas par nepilngadīgo noziedzības stāvokli, noziedzīgos nodarījumos cietušajiem bērniem, kā arī noziedzības novēršanas problēmām, apzināšana, analīze"  ar tekstu :  " un katras pašvaldības informēšana par situāciju konkrētajā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apakšpunktā norādīts, ka pašvaldībām jāizstrādā likumpārkāpumu prevencijas plāni, ko mērķtiecīgi būtu izstrādāt, pamatojoties uz datiem, jo līdz šim dažādu pašvaldības iestāžu saņemtie dati par bērniem, kas veikuši noziedzīgus nodarījumus vai bērniem, kas cietuši no noziedzīgiem nodarījumiem, ir nepilnīgi un sadrumstaloti. Publiski pieejami ir dati par vispārējo situāciju valstī šajā jomā. Šādu datu analīzi būtu nepieciešams veikt regulāri, nevis 1 reizi gadā  publiskajā pārskatā.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gatavo pārskatu par kopēju situāciju valstī bērnu noziedzības un cietušo bērnu jomā. Pārskatā netiek analizēta un vērtēta situācija atsevišķi katrā pašvaldībā, kā arī Iekšlietu ministrijas rīcībā nav resursu šādas analīzes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piekrīt, ka likumpārkāpumu prevencijas pasākumu plānošana pašvaldībās ir jāveic balstoties uz situācijas izpēti un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66.pants nosaka pašvaldībām analizēt stāvokli bērna tiesību ievērošanas jomā, izstrādāt un īstenot bērna tiesību aizsardzības programmu pašvaldības administratīvajā teritorijā. Likumpārkāpumu prevencija ir neatraujama no bērnu tiesību aizsardzības, attiecīgi pašvaldībām sadarbībā ar policiju, izglītības iestādēm, sociālo dienestu u.c. kompetentajām iestādēm pašām ir jāanalizē esošā sitācija savā pašvaldībā un attiecīgi jāplāno pasākumi, kas būtu vērsti uz savlaicīgu likumpārkāpumu novēršanu, apzinot riska faktorus un plānojot proaktīvus pasākumus, lai savlaicīgi novērstu iespējamu uzvedības problēmu rašanos un likumpārkāpumu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pašvaldības Sadarbības grupas uzdevums ir analizēt kopējo situāciju bērnu tiesību aizsardzības jomā un sniegt pašvaldībai priekšlikumus bērnu tiesību aizsardzības programmas izstrādei, tostarp par nepieciešamajiem pasākumiem institūciju sadarbības sistēmas pilnveidošanai un saskaņotai un koordinētai institūciju sadarbībai.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iecirkņos ir izstrādāti iecirkņu prevencijas rīcības plāni, kuros ir iekļauti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Iesaistīt pašvaldības iecirkņa prevencijas rīcības plānā iekļauto aktivitāšu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Regulāri organizēt lokālā mēroga sanāksmes ar pašvaldībām, lai vērtētu plānoto aktivitāšu īstenošanas progresu un apspriestu drošības aktualitātes.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atskaitēs norādītajiem datiem 2024.gadā sadarbībā tika iesaistīts 81% no visām Latvijas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2024.gadā tika organizētas 228 sanāksmes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iecirkņu prevencijas rīcības plāni un tajos iekļaujamie uzdevumi tiek izstrādāti, pamatojoties uz vispārēju datu analīzi (Elektronisko notikumu žurnālā), par apkalpojamajā teritorijā notikušajiem noziedzīgiem nodarījumiem, salīdzinot notikumu tendences 3-5 gadu griezumā.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tehnisku precizējumu 2.3. pasākuma finansējuma sadaļā, svītrojot vārdu "es".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plāna 2025.-2027. gadam</w:t>
            </w:r>
            <w:r w:rsidR="00000000" w:rsidRPr="00000000" w:rsidDel="00000000">
              <w:rPr>
                <w:b w:val="1"/>
                <w:rtl w:val="0"/>
              </w:rPr>
              <w:t xml:space="preserve"> 3.4. pasākums</w:t>
            </w:r>
            <w:r w:rsidR="00000000" w:rsidRPr="00000000" w:rsidDel="00000000">
              <w:rPr>
                <w:rtl w:val="0"/>
              </w:rPr>
              <w:t xml:space="preserve"> paredz sagatavot priekšlikumus, lai uzlabotu ekspertīžu pieejamību. Aicinām precizēt minētā pasākuma rezultatīvo rādītāju, jo tikai veikti grozījumi normatīvajos aktos, nosakot ekspertīžu veikšanas termiņu, neuzlabos pakalpojuma pieejamību. Vienlaikus jāizvērtē, vai nav nepieciešami citi risinājumi pieejamības uzlabošanā, un vai tiem nav nepieciešams papildu finansējuma pieprasījums.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izteikt 3.4. pasākuma rezultatīvo rādītāju šādi: (līdz 31.12.2025.) sagatavoti priekšlikumi un izvērtēta nepieciešamība veikt grozījumus normatīvajos aktos, vienlaikus apzināti citi veicamie pasākumi pakalpojuma pieejamības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 priekšlikumi risinājumam ekspertu un ekspertīžu pieejamībai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2.3. pasākumā norādīt izvēlētās programmas, kā arī norādīt pašvaldību un jauniešu skaitu, kas iesaistāmi programmās plāna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 izvēlētā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precizēt pašvaldību vai jauniešu skaitu, kas iesaistāmi programmās, jo tas atkarīgs no pieejamā finansējuma apmēra ESF ietvaros. Iesaistīto jauniešu  skaits minētajā programmā tiks precizēts sagatavojot tehnisko specifikāciju un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konkrēto projektu, kas iespējams kā finansējuma avots 1.5. pasākuma izpildei.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tiks īstenots likumā par valsts budžetu kārtējam gadam paredzēto finanšu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provizoriskus kvantitatīvos rezultatīvos rādītājus pasākumiem 1.3.-1.5., 1.7., 1.8., 2.1. un 2.12.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pasākumos, kuros bija iespējams, norādīti provizoriskie kvantitatīvie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1.2. pasākuma rezultatīvo rādītāju, norādot, cik dalībnieku paredzēts apmācīt plānotajās drošības mācībās.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iebildumu par to, ka plānā iekļaujami pasākumi, kurus var īstenot valsts budžeta ietvaros, tika mainīts pasākums un pasākuma rezultatīvais rādītājs.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ziņas par politikas rezultātu, norādot datus par iepriekšējo periodu, lai precizētu vēlamos sasniedzamos uzlabojumus.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politikas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1.5  redakcijā ievērot konsekventu pieeju, norādot līdzatbildīgās iestādes bez papildinošām norādēm.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BAC, IKVD, IZM, VM, TM (VPD), 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(3. sadaļa) tabulas 2.3. punkta finansējuma avotu ar pasākuma numuru, kura ietvaros ir plānots nodrošināt finansējumu, ņemot vērā plānā norādīto "ESF es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izmantot vienotu pieeju Eiropas Savienības kohēzijas politikas programmas 2021.–2027.gadam pasākumu atspoguļošanā, piemēram, norādot pasākumu - 4.3.5.3. pasākums, bet specifisko atbalsta mērķi (SAM) - 4.3.5. 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avots ir ESF 4.1.2. SAM "Uzlabot vienlīdzīgu un savlaicīgu piekļuvi kvalitatīviem, ilgtspējīgiem un izmaksu ziņā pieejamiem veselības aprūpes, veselības veicināšanas un slimību profilakses pakalpojumiem, uzlabojot veselības aprūpes sistēmu efektivitāti un izturētspēju" - 4.1.2.1. Nacionāla mēroga veselības veicināšanas un slimību profilakses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plāna projekta (3.punkts) tabulas 1.5. punkta izņemt atsauci uz 4.1.2.4. projektu, ņemot vērā, ka Ministru kabineta 2024. gada 4. jūnija noteikumu Nr. 337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4.1.2.4. pasākuma "Pierādījumos balstītu narkotiku lietošanas profilakses programmu īstenošana un profilakses kvalitātes standartu ieviešana" īstenošanas noteikumi" atbalstāmo darbību ietvaros noteiktajās apmācībās nav paredzēts sniegt apmācības iestāžu vadības komandām.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2025. gada 1. janvāra Valsts izglītības satura centrs (VISC) ir pārtraucis savu darbību un VISC funkcijas un uzdevumus ir pārņēmusi Valsts izglītības attīstības aģentūra (VIAA), lūdzam dokumentā labot institūcijas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saprotams pasākumu plāna 3.2. pasākums "Izstrādāt īpaši aizsargājamo cietušo – nepilngadīgo, nopratināšanas vadlīnijas"  tvērums, ņemot vērā Viedokļu pārskatā izteikto Centra “Dardedze” iebildumu, ka Latvija jau ir iztulkojusi un adaptējusi NICHD izmeklēšanas intervijas protokolu,  tāpēc pasākumu plānā noteikti nebūtu jāiekļauj un no jauna jāparedz finansējums aktivitātei, jo tādas jau ir izstrādātas.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vadlīniju tvērumam un mērķim ir jābūt plašākam, ar praktisku metodisko atbalstu, nekā jau Latvijā adaptētajam NICHD protokolam, kas nosaka pašas nopratināšanas struktūru. Piemēram, tajās detalizēti jāietver informāciju par nopratināšanas sagatavošanās procesu; procesuālajā darbībā, kas jāveic pirms vai pēc nopratināšanas; noskaidrojamo apstākļu minimumu pirms bērna nopratināšanas, kā arī nopratināšanā nepieciešamo noskaidrojamo jautājumu minimumu, lai maksimāli ievērotu  principu, ka bērnu pēc iespējas pratina tikai vienu reizi; pratināšanas plānošanu, tai skaitā iespējamo jautājumu saskaņošanu ar uzraugošo prokuroru vai kritērijus lietu kategorijām, kurās nopratināšanas procesā jāpiedalās arī pašam uzraugošajam prokuroram; tāpat tajās jāatspoguļo KPL normu praktiskās piemērošanas skaidrojums, lai vienveidotu praksi, un tml. Vēršam uzmanību, ka 2024. gada 22. oktobrī spēkā stājās grozījumi KPL 153. pantā, kas  noteic, ka īpaši aizsargājamu nepilngadīgo cietušo pratināšanu izdara ar tehnisko līdzekļu un psihologa starpniecību. Un tikai neatliekamos gadījumos, kad pratināšanu nav iespējams izdarīt šādi un nepieciešams nekavējoties noskaidrot un aizturēt noziedzīga nodarījuma izdarītāju vai šāda pratināšana nav iespējama nepilngadīgā veselības stāvokļa dēļ, nopratināšanu var veikt izmeklēšanas darbības veicējs, kuram ir speciālas zināšanas par saskarsmi ar nepilngadīgo kriminālprocesa laikā. Tāpat ir noteikta jauna kārtība par aizstāvības puses tiesībām pieteikt lūgumu iepazīties ar nopratināšanas ierakstu vai protokolu un pieteikt motivētu lēmumu par iespējamiem papildu jautājumiem jau pirmstiesas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Vadlīniju izstrādē un saskaņošanā jāiesaista arī ĢP.  Tāpat, tā kā vadlīnijas tiks izstrādātas ņemot vērā bērna labāko interešu ievērošanu ir svarīgi, ka vadlīnijas izstrādātas sadarbībā arī ar BAC un tā struktūrvienību Bērna māja. Vēršam uzmanību, ka likumdevējs ir noteicis, ka Bērna mājas modelis ir kā pamatprincips darbam ar īpaši aizsargājamiem nepilngadīgajiem cietušajiem kriminālprocesā.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NICHD protokols ir viens no pasaules praksē atzītām un empīriski pamatotām strukturētās pratināšanas vadlīnijām, kuras izveidotas nosakot noteiktu pratināšanas struktūru un taktiku, bet neietver ar izmeklēšanu saistītu pasākumu nozīmi un izpildījumu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NICHD protokola autori norāda, ka šis protokols ir lietojams dinamiski darbā ar nepilngadīgajiem īpaši aizsargājamiem cietušajiem. Savukārt pētījumi atklāj šī protokola ierobežojumus (piem., protokolā ietvertās instrukcijas visi bērni nesaprot un nespēj ievērot pratināšanas laikā). Turklāt NICHD protokols neietver Kriminālprocesa likuma normas (piemēram, NICHID protokols neparedz izskaidrot procesuālās tiesības un pienākumus; neparedz veidu kādā nepilngadīgajam intervijas laikā varētu uzrādīt noteiktus materiālus), kuras nepieciešams ievērot izmeklēšanas procesā. Tādēļ pasaules praksē izmeklēšanas iestādes sadarbībā ar nozares profesionāļiem izstrādā vienotu normatīvos aktos un pētījumos balstītu metodisko materiālu izmeklētājiem darbā ar nepilngadīgo īpaši aizsargājamo cietušo, tai skaitā lieciniekiem, kriminālprocesa ietvaros. Tieši tā, kā Tieslietu ministrija norāda, metodiskai materiāls ietvers plašāku informāciju saistībā ar bērna nopratināšanu kriminālprocesā, tai skaitā, sagatavošanos pratināšanai, tehnisko līdzekļu izmantošanu, iepazīstināšanu ar procesuālajām tiesībām u.c. ar kriminālprocesa normu praktiskās piemērošanas skaidrojumiem.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veidot vienotu normatīvos aktos un empīriskos pētījumos balstītu nepilngadīgo īpaši aizsargājamo cietušo nopratināšanas praksi pirmstiesas izmeklēšanā, veicinot izmeklēšanas kvalitātes paaugstināšanu un bērnu labāko interešu ievērošanu, kas balstīta uz starptautisku praksi un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pasākuma izpildi līdzatbildīgo institūciju saraksts papildināts ar Ģenerālprokuratūru.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pasākumu plāna 3.4. rezultatīvo rādītāju,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"Rasts risinājums ekspertu un ekspertīžu pieejamībai kriminālprocesā". Precizējums nepieciešams, jo normatīvo aktu grozījums ietilpst potenciālajā risinājuma, ja izvērtēšanas laikā ar kompetentajām iestādēm nonāks pie šāda secinājuma. Vienlaikus primāri kā rezultatīvajam rādītajam ir jābūt konceptuālam risinājumam, lai palielinātu pieejamību un samazinātu termiņu, kādā tiek veiktas tiesu psiholoģijas,  psihiatrijas  un kompleksās ekspertīzes bērniem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3.4. rezultatīvais rādītājs: "Rasts risinājums ekspertu un ekspertīžu pieejamībai kriminālprocesā".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rezultatīvais rādītājs, ņemot vērā Tieslietu ministrijas un vienlaikus Veselības ministrijas sniegtos priekšlikumus.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projektu attiecībā par Valsts izglītības satura centrs (turpmāk - VISC), ņemot vērā, ka no 2025. gada 1. janvāra VISC pārtraucis savu darbību un VISC funkcijas un uzdevumus ir pārņēmusi Valsts izglītības attīstības aģentūra (VIAA).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2024. gada 30. jūlija rīkojums Nr. 635 “Par Valsts izglītības attīstības aģentūras pārveidošanu un Valsts izglītības satura centra un Jaunatnes starptautisko programmu aģentūras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Lūdzu precizēt atbilstoši darba sanāksmēs pārrunātajam: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1.1. Plāna</w:t>
            </w:r>
            <w:r w:rsidR="00000000" w:rsidRPr="00000000" w:rsidDel="00000000">
              <w:rPr>
                <w:b w:val="1"/>
                <w:rtl w:val="0"/>
              </w:rPr>
              <w:t xml:space="preserve"> 2.3.</w:t>
            </w:r>
            <w:r w:rsidR="00000000" w:rsidRPr="00000000" w:rsidDel="00000000">
              <w:rPr>
                <w:rtl w:val="0"/>
              </w:rPr>
              <w:t xml:space="preserve"> punktā  - sadaļā "Atbildīgā institūcija" - </w:t>
            </w:r>
            <w:r w:rsidR="00000000" w:rsidRPr="00000000" w:rsidDel="00000000">
              <w:rPr>
                <w:b w:val="1"/>
                <w:rtl w:val="0"/>
              </w:rPr>
              <w:t xml:space="preserve">IZM</w:t>
            </w:r>
            <w:r w:rsidR="00000000" w:rsidRPr="00000000" w:rsidDel="00000000">
              <w:rPr>
                <w:rtl w:val="0"/>
              </w:rPr>
              <w:t xml:space="preserve"> </w:t>
            </w:r>
            <w:r w:rsidR="00000000" w:rsidRPr="00000000" w:rsidDel="00000000">
              <w:rPr>
                <w:b w:val="1"/>
                <w:rtl w:val="0"/>
              </w:rPr>
              <w:t xml:space="preserve">aizvietot ar VIAA, </w:t>
            </w:r>
            <w:r w:rsidR="00000000" w:rsidRPr="00000000" w:rsidDel="00000000">
              <w:rPr>
                <w:rtl w:val="0"/>
              </w:rPr>
              <w:t xml:space="preserve">atbilstoši iestāžu kompetencei.</w:t>
            </w:r>
            <w:r w:rsidR="00000000" w:rsidRPr="00000000" w:rsidDel="00000000">
              <w:rPr>
                <w:rtl w:val="0"/>
              </w:rPr>
              <w:t xml:space="preserve">1.2. Plāna </w:t>
            </w:r>
            <w:r w:rsidR="00000000" w:rsidRPr="00000000" w:rsidDel="00000000">
              <w:rPr>
                <w:b w:val="1"/>
                <w:rtl w:val="0"/>
              </w:rPr>
              <w:t xml:space="preserve">3.4.</w:t>
            </w:r>
            <w:r w:rsidR="00000000" w:rsidRPr="00000000" w:rsidDel="00000000">
              <w:rPr>
                <w:rtl w:val="0"/>
              </w:rPr>
              <w:t xml:space="preserve"> punktā - sadaļā "Atbildīgā institūcija" - </w:t>
            </w:r>
            <w:r w:rsidR="00000000" w:rsidRPr="00000000" w:rsidDel="00000000">
              <w:rPr>
                <w:b w:val="1"/>
                <w:rtl w:val="0"/>
              </w:rPr>
              <w:t xml:space="preserve">IZM aizvietot ar IKVD</w:t>
            </w:r>
            <w:r w:rsidR="00000000" w:rsidRPr="00000000" w:rsidDel="00000000">
              <w:rPr>
                <w:rtl w:val="0"/>
              </w:rPr>
              <w:t xml:space="preserve">, atbilstoši iestāžu kompetencei.</w:t>
            </w:r>
            <w:r w:rsidR="00000000" w:rsidRPr="00000000" w:rsidDel="00000000">
              <w:rPr>
                <w:rtl w:val="0"/>
              </w:rPr>
              <w:t xml:space="preserve">1.3. Plāna 2.5. un 4.3. punktā būtu precizējami veicamie uzdevumi IZM, atbilstoši iestādes kompetencei.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pasākumā sadaļā "Atbildīgā institūcija " IZM aizvietota ar VIAA.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pasākuma sadaļā "Atbildīgā institūcija" IZM aizvietota ar IKVD.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nevienā no pasākumiem netiek atsevišķi izdalīti katras līdzatbildīgās institūcijas uzdevumi, attiecīgi tiks ievērota konsekvence arī uz pasākumiem 2.5. un 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līdzdalība nav izslēdzama gadījumiem, kad atbildīgai institūcijai  īstenojot pasākumu nepieciešama IZM vai tās padotības iestādes iesaiste, piemēram, 2.5. pasākuma īstenošanas gaitā meklējot risinājumus saistībā ar izglītības komponentes nodrošināšanu ieviešot “Bērnu un jauniešu drošā māju", kā arī nepieciešamības gadījumā priekšlikumu iesniegšanai pasākumiem, kas būtu jāiekļauj 4.3. pasākumā noteiktajos likumpārkāpumu prevencijas plānos, vai  pašvaldību paredzēto pasākumu īstenošanas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Informējam, ka no 2025.gada 1.janvāra Valsts izglītības satura centrs (VISC) pārtrauca savu darbību un VISC funkcijas un uzdevumus pārņem Valsts izglītības attīstības aģentūra (VIAA). Tāpēc lūgums nomainīt VISC uz VIAA, t.sk. Plāna 1.5.punktā.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2025.-2027. gadam 9.lp. lūdzu precizēt informāciju par Vardarbības pret sievietēm un vardarbības ģimenē novēršanas un apkarošanas plānu 2024.–2029. gadam (turpmāk - plāns), norādot informāciju, ka darbs pie plāna izstrādes notika 2023. un 2024. gadā un plāns 2024. gada 19. decembrī tika pieņemts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24-TA-2674</w:t>
    </w:r>
    <w:r>
      <w:br/>
    </w:r>
    <w:r w:rsidR="00000000" w:rsidRPr="00000000" w:rsidDel="00000000">
      <w:rPr>
        <w:rtl w:val="0"/>
      </w:rPr>
      <w:t xml:space="preserve">08.04.2025. 18.33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24-TA-2674</w:t>
    </w:r>
    <w:r>
      <w:br/>
    </w:r>
    <w:r w:rsidR="00000000" w:rsidRPr="00000000" w:rsidDel="00000000">
      <w:rPr>
        <w:rtl w:val="0"/>
      </w:rPr>
      <w:t xml:space="preserve">08.04.2025. 18.33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Izziņa_24-TA-2674.docx</dc:title>
</cp:coreProperties>
</file>

<file path=docProps/custom.xml><?xml version="1.0" encoding="utf-8"?>
<Properties xmlns="http://schemas.openxmlformats.org/officeDocument/2006/custom-properties" xmlns:vt="http://schemas.openxmlformats.org/officeDocument/2006/docPropsVTypes"/>
</file>