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25-TA-77: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2024. gada 19. novembra noteikumos Nr. 726 "Eiropas Savienības kohēzijas politikas programmas 2021.–2027. gadam 2.3.1. specifiskā atbalsta mērķa "Veicināt ilgtspējīgu daudzveidu mobilitāti pilsētās" 2.3.1.2. pasākuma "Multimodāls sabiedriskā transporta tīkls" īstenošanas noteikumi"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left w:val="nil"/>
              <w:right w:val="nil"/>
            </w:tcBorders>
          </w:tcPr>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1.0 Likumi.lv (26.11.2024.)</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Katrā projektu iesniegumu atlases kārtā pašvaldība vai pašvaldības iestāde un pašvaldības kapitālsabiedrība (ar rakstveida piekrišanu no pašvaldības, kuras teritorijā ir plānotas darbības), var iesniegt vienu vai vairākus projektu iesniegumus atbilstoši šo noteikumu </w:t>
            </w:r>
            <w:r w:rsidR="00000000" w:rsidRPr="00000000" w:rsidDel="00000000">
              <w:rPr>
                <w:rtl w:val="0"/>
              </w:rPr>
              <w:t xml:space="preserve">16.</w:t>
            </w:r>
            <w:r w:rsidR="00000000" w:rsidRPr="00000000" w:rsidDel="00000000">
              <w:rPr>
                <w:rtl w:val="0"/>
              </w:rPr>
              <w:t xml:space="preserve"> punktā noteiktajiem sabiedriskā transporta savienojumu punktu veidiem, ievērojot šo noteikumu </w:t>
            </w:r>
            <w:r w:rsidR="00000000" w:rsidRPr="00000000" w:rsidDel="00000000">
              <w:rPr>
                <w:rtl w:val="0"/>
              </w:rPr>
              <w:t xml:space="preserve">14.</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2. panta pirmā daļa noteic, ka pašvaldība ir atvasināta publiska persona — vietējā pārvalde (..). Savukārt pašvaldības administrācija (pašvaldības iestādes un amatpersonas) ir pastarpinātā pārvalde, kuru dome izveido pašvaldībai noteikto funkciju un uzdevumu izpildes nodrošināšanai (Pašvaldību likuma 20. panta pirmā daļa). Līdz ar to pašvaldība savas funkcijas īsteno  ar tās institūciju, tostarp ar iestāžu, starpniecību. Vienlaikus norādām, ka pašvaldība kā publiska persona un pašvaldības kapitālsabiedrība kā privāto tiesību juridiska persona ir atsevišķi patstāvīgi tiesību subjekti. Šajā sakarā spēkā esošo Ministru kabineta 2024. gada 19. novembra noteikumu Nr. 726 "Eiropas Savienības kohēzijas politikas programmas 2021.–2027. gadam 2.3.1. specifiskā atbalsta mērķa "Veicināt ilgtspējīgu daudzveidu mobilitāti pilsētās" 2.3.1.2. pasākuma "Multimodāls sabiedriskā transporta tīkls" īstenošanas noteikumi" (turpmāk - noteikumi) 15. punkts paredz, ka projektu iesniegumus citstarp var iesniegt "pašvaldības kapitālsabiedrība ar rakstveida piekrišanu no pašvaldības, kuras teritorijā ir plānotas darbības", un šī atruna iekavās ietverta arī noteikumu grozījumu projekta 1. punktā. Aicinām ņemt vērā, ka no minētās atrunas var izrietēt, ka "pašvaldība, kuras teritorijā ir plānotas darbības" nav tā pati pašvaldība, kura ir kapitāldaļu turētāja norādītajā kapitālsabiedrībā.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Tādējādi svītrojami normā vārdi  "pašvaldības iestāde un", un pārskatāms pašvaldības kapitālsabiedrībai noteiktais tiesiskais pamats iesniegt projekta iesniegumu, kā arī attiecīgi pārskatāmas un precizējamas citas noteikumu grozījumu projekta normas (piemēram, 4.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iesniedzēja tiesības veikt ieguldījumus nekustamajā īpašumā nostiprina zemesgrāmatā līdz projekta noslēguma maksājuma veikšanai, izņemot gadījumu, ja valsts vai pašvaldības īpašums uz normatīvā akta, līguma vai attiecīga lēmuma pamata ir nodots pašvaldības, tās kapitālsabiedrības vai iestādes - projekta iesniedzēja – pārvaldīšanā vai noslēgts patapinājuma līgums.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Pašvaldību likuma 2. panta pirmā daļa noteic, ka pašvaldība ir atvasināta publiska persona — vietējā pārvalde (..). Savukārt pašvaldības administrācija (pašvaldības iestādes un amatpersonas) ir pastarpinātā pārvalde, kuru dome izveido pašvaldībai noteikto funkciju un uzdevumu izpildes nodrošināšanai (Pašvaldību likuma 20. panta pirmā daļa). Līdz ar to pašvaldība savas funkcijas īsteno  ar tās institūciju, tostarp ar iestāžu, starpniecību. Vienlaikus norādām, ka pašvaldība kā publiska persona un pašvaldības kapitālsabiedrība kā privāto tiesību juridiska persona ir atsevišķi patstāvīgi tiesību subjekti. Turklāt norādām, ka saskaņā ar Ministru kabineta noteikumu 2024. gada 19. novembra Nr. 726 "Eiropas Savienības kohēzijas politikas programmas 2021.–2027. gadam 2.3.1. specifiskā atbalsta mērķa "Veicināt ilgtspējīgu daudzveidu mobilitāti pilsētās" 2.3.1.2. pasākuma "Multimodāls sabiedriskā transporta tīkls" īstenošanas noteikumi" 19.punktu projektu iesniedzēji ir pašvaldības un pašvaldību kapitālsabiedrības.Tādējādi svītrojami normā vārdi  "vai iestādes". Turklāt norādām, ka rīkoties ar pašvaldība mantu var tikai ar pašvaldības pilnvarojumu. Pašvaldības kompetencē ir pilnvarot pašvaldības iestādi vai citu personu pārstāvēt pašvaldību konkrētā projektā. Pašvaldības mantas pārvaldīšanas līgums un patapinājuma līgums pēc savas būtības nav uzskatāms par pašvaldības pilnvarojumu pārstāvēt pašvaldību attiecīgajā projektā. Tādējādi lūdzam pārskatīt tiesību normas redakciju, kā arī noteikumu 69.1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pasākuma ietvaros plānota arī sabiedriskā transporta savienojumu punktu izbūve pie dzelzceļa stacijām/pieturām un var skart NĪ, kur īpašumtiesības pieder LDz. Tāpat var skart LVC nekustamos īpašumus savienojošās infrastruktūras izbūves gadījumā. Pirmā atlases kārta parāda, ka starp pašvaldību un LDz tiek noslēgti zemes patapinājuma līgumi un sadarbības līgumi, pašvaldība pieņem arī lēmumu par projekta iesnieguma iesniegšanu un projekta īstenošanu. Ņemot vērā to, ka katrā pašvaldībā var būt savas īpatnības un to, ka Noteikumu ietvaros nav iespējams atrunāt visas iespējamās situācijas, Noteikumu punkts formulēts maksimāli pieļaujot visas iespējamas situācijas ar mērķi nelikt projekta iesniedzējiem šķēršļus pretendēt finansējumam.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69.</w:t>
            </w:r>
            <w:r w:rsidR="00000000" w:rsidRPr="00000000" w:rsidDel="00000000">
              <w:rPr>
                <w:vertAlign w:val="superscript"/>
                <w:rtl w:val="0"/>
              </w:rPr>
              <w:t xml:space="preserve">1</w:t>
            </w:r>
            <w:r w:rsidR="00000000" w:rsidRPr="00000000" w:rsidDel="00000000">
              <w:rPr>
                <w:rtl w:val="0"/>
              </w:rPr>
              <w:t xml:space="preserve">.apakšpunku, precizēta atsauce - uz Noteikumu 23.punktu.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Izteikts jaunā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21.Projekta iesniedzēja tiesības veikt ieguldījumus nekustamajā īpašumā nostiprina zemesgrāmatā līdz projekta noslēguma maksājuma veikšanai, izņemot šādus gadījumus: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21.1. valsts vai valsts kapitālsabiedrības nekustamais īpašums uz normatīvā akta, līguma vai attiecīga lēmuma pamata ir nodots pašvaldības vai pašvaldības kapitālsabiedrībai - projekta iesniedzējai – pārvaldīšanā, lietošanā vai noslēgts patapinājuma līgums;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21.2. pašvaldības nekustamais īpašums uz pašvaldības pilnvarojuma pamata ir nodots pašvaldības kapitālsabiedrībai – projekta iesniedzējam – ar projekta īstenošanu saistīto darbību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Projekta iesniedzēja tiesības veikt ieguldījumus nekustamajā īpašumā nostiprina zemesgrāmatā līdz projekta noslēguma maksājuma veikšanai, izņemot šādus gadījumus: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Projekta iesniedzējs noslēdz līgumu ar sabiedrisko pakalpojumu sniedzēju ūdenssaimniecības jomā, ja projekta ietvaros plānotas šo noteikumu </w:t>
            </w:r>
            <w:r w:rsidR="00000000" w:rsidRPr="00000000" w:rsidDel="00000000">
              <w:rPr>
                <w:rtl w:val="0"/>
              </w:rPr>
              <w:t xml:space="preserve">27.15.</w:t>
            </w:r>
            <w:r w:rsidR="00000000" w:rsidRPr="00000000" w:rsidDel="00000000">
              <w:rPr>
                <w:rtl w:val="0"/>
              </w:rPr>
              <w:t xml:space="preserve"> apakšpunktā minētās izmaksas. Pakalpojumu līgumā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attiecīgo punktu, ietverot izņēmumu vai atrunu, kas attiecas uz sabiedrisko ūdenssaimniecības pakalpojumu sniedzēju. Norādām, ka atbilstoši noteikumu projektam projektu iesniedzējs var būt pašvaldība vai tās izveidota iestāde un pašvaldības kapitālsabiedrība, kurām jāslēdz līgums ar sabiedrisko ūdenssaimniecības pakalpojumu sniedzēju. Vairums sabiedrisko ūdenssaimniecības pakalpojumu sniedzēju ir pašvaldību kapitālsabiedrības vai pašvaldību iestādes. Ja projekta iesniegumu vēlēsies iesniegt sabiedrisko ūdenssaimniecības pakalpojumu sniedzējs, kas ir pašvaldības kapitālsabiedrība, tas nevarēs izpildīt šī punkta prasības.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Ņemts vērā, precizējot, ņemot vērā to, ka no projekta iesniedzējiem tiek svītrotas pašvaldību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papildināts ar nosacījumu iesniegt noslēgto līgumu kā pielikumu projekta iesniegumam, ņemot vērā to, ka šādi līgumi pašvaldībām ir noslēgti.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Gadījumā, ja projekta iesniedzējs nav sabiedrisko ūdenssaimniecības pakalpojumu sniedzējs un projekta ietvaros plānotas šo noteikumu </w:t>
            </w:r>
            <w:r w:rsidR="00000000" w:rsidRPr="00000000" w:rsidDel="00000000">
              <w:rPr>
                <w:rtl w:val="0"/>
              </w:rPr>
              <w:t xml:space="preserve">27.15.</w:t>
            </w:r>
            <w:r w:rsidR="00000000" w:rsidRPr="00000000" w:rsidDel="00000000">
              <w:rPr>
                <w:rtl w:val="0"/>
              </w:rPr>
              <w:t xml:space="preserve"> apakšpunktā minētās izmaksas, projekta iesniedzējs pievieno projekta iesniegumam noslēgto līgumu ar sabiedrisko ūdenssaimniecības pakalpojumu sniedzēju, kur norādīts: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kas ir sabiedrisko ūdenssaimniecības pakalpojumu sniedzēja, pašvaldības iestādei ir jāievēro šādus ūdenssaimniecības sabiedrisko pakalpojumu sniegšanas kārtības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atbilstību Eiropas Komisijas lēmuma Nr. 2012/21/ES 4.panta f) apakšpunktā noteiktajam, lūdzam 23</w:t>
            </w:r>
            <w:r w:rsidR="00000000" w:rsidRPr="00000000" w:rsidDel="00000000">
              <w:rPr>
                <w:vertAlign w:val="superscript"/>
                <w:rtl w:val="0"/>
              </w:rPr>
              <w:t xml:space="preserve">2</w:t>
            </w:r>
            <w:r w:rsidR="00000000" w:rsidRPr="00000000" w:rsidDel="00000000">
              <w:rPr>
                <w:rtl w:val="0"/>
              </w:rPr>
              <w:t xml:space="preserve"> punktā minētos nosacījumus papildināt ar atsauci uz Eiropas Komisijas lēmumu Nr. 2012/21/ES.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 jo tika svītrots 23.</w:t>
            </w:r>
            <w:r w:rsidR="00000000" w:rsidRPr="00000000" w:rsidDel="00000000">
              <w:rPr>
                <w:vertAlign w:val="superscript"/>
                <w:rtl w:val="0"/>
              </w:rPr>
              <w:t xml:space="preserve">1</w:t>
            </w:r>
            <w:r w:rsidR="00000000" w:rsidRPr="00000000" w:rsidDel="00000000">
              <w:rPr>
                <w:rtl w:val="0"/>
              </w:rPr>
              <w:t xml:space="preserve">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iepriekšējo divu starpinstitūciju saskaņošanas laikā saņemts Tieslietu ministrijas iebildums noteikumu 27.15.apakšpunktam, kur lūgts svītrot atsauci uz Eiropas Komisijas lēmumu ar šādu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projektā, ar kuru groza Ministru kabineta 2024. gada 19. novembra noteikumus Nr. 726 "Eiropas Savienības kohēzijas politikas programmas 2021.–2027. gadam 2.3.1. specifiskā atbalsta mērķa “Veicināt ilgtspējīgu daudzveidu mobilitāti pilsētās” 2.3.1.2. pasākuma “Multimodāls sabiedriskā transporta tīkls” īstenošanas noteikumi" (turpmāk – Noteikumi Nr. 726), ietvertas atsauces uz Eiropas Komisijas 2011. gada 20. decembra Lēmumu Nr. 2012/21/ES (turpmāk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skaidri paredz, ka tas ir adresēts dalībvalstīm. Attiecīgi Lēmuma normas var būt tieši saistošas tikai valsts institūcijām, nevis privātpersonām (t.sk. juridiskajām). Ja Lēmuma normas jāpiemēro arī privātpersonām, tās ir jāpārņem nacionālajos normatīvajos aktos līdzīgi kā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noteikts, ka noteiktas infrastruktūras izmaksas īstenojamas, ievērojot Lēmuma prasības, savukārt 19. punktā minēti finansējuma saņēmēji, tostarp pašvaldību kapitālsabiedrības – juridiskas personas. Tādējādi Lēmuma prasības tiek faktiski attiecinātas uz privātpersonām, nepārņemot tās nacionālajā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20. un 22. punktā svītrot atsauci uz Lēmumu un attiecīgās Lēmuma normas, kuras nepieciešams padarīt saistošas juridiskajām personām, pārņemt (iestrādāt) noteikumu projektā līdzīgi kā Eiropas Savienības direktīvu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Sazinoties ar Tieslietu ministriju, Tieslietu ministrija skaidro, ka iebildums nozīmē to, ka atbilstoši juridiskai tehnikai noteikumos nedrīkst būt atsauce uz Eiropas Komisijas Lēmumu Nr. 2012/21/ES, bet gan noteikumos ir jābūt iestrādātiem visiem nosacījumiem, kas izriet no šī EK lēmuma, kas ir paveikts. Atsauce drīkst būt tajos noteikumu punktos, kur ir runa par nosacījumiem, kas jāiestrādā līgumos/lēmumos/saistošajos noteikumos par VTNP pakalpojumu sniegšanu. Tātad, atbilstoši Tieslietu ministrijas iebildumam no konkrētajiem noteikumu grozījumu punktiem jāsvītro atsauce uz šo EK lēmumu Nr.2012/21/ES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precizējumus pirms otrās starpinstitūciju saskaņošanas, t.sk. svītrojot atsauci uz EK lēmumu  23.</w:t>
            </w:r>
            <w:r w:rsidR="00000000" w:rsidRPr="00000000" w:rsidDel="00000000">
              <w:rPr>
                <w:vertAlign w:val="superscript"/>
                <w:rtl w:val="0"/>
              </w:rPr>
              <w:t xml:space="preserve">2</w:t>
            </w:r>
            <w:r w:rsidR="00000000" w:rsidRPr="00000000" w:rsidDel="00000000">
              <w:rPr>
                <w:rtl w:val="0"/>
              </w:rPr>
              <w:t xml:space="preserve">.apakšpunktā (pašlaik 23.</w:t>
            </w:r>
            <w:r w:rsidR="00000000" w:rsidRPr="00000000" w:rsidDel="00000000">
              <w:rPr>
                <w:vertAlign w:val="superscript"/>
                <w:rtl w:val="0"/>
              </w:rPr>
              <w:t xml:space="preserve">1</w:t>
            </w:r>
            <w:r w:rsidR="00000000" w:rsidRPr="00000000" w:rsidDel="00000000">
              <w:rPr>
                <w:rtl w:val="0"/>
              </w:rPr>
              <w:t xml:space="preserve"> punkts), Tieslietu ministrija grozījumu projektu saskaņoja. Pirms veikt minētus precizējumus, atsauces svītrošana tika neoficiāli saskaņota ar CFLA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2025.gada 5.septembrī ar elektroniska pasta sūtījumu situācija tika aprakstīta FM iebilduma izteicējam un saņemts šāds viedoklis: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 valsts atbalsta viedokļa MKN Eiropas Komisijas lēmumu Nr. 2012/21/ES ir obligāti jāmin punktā, kur pateikts, kas jāiekļauj līgumā (kā tas ir šajos MKN), bet kā MKN atrunā citus nosacījumus, kas izriet no lēmuma, ir MKN autora kompetence. Galvenais, lai visi nepieciešamie nosacījumi ir iekļauti MKN.”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FM sniegtās atbildes secināms, ka šajā Noteikumu punktā atsauci uz EK lēmumu var nelikt, līdz ar ko Noteikumu punkts netiek precizēts un atstāts kā to saskaņoja Tieslietu ministrija.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kas ir sabiedrisko ūdenssaimniecības pakalpojumu sniedzēja, pašvaldības iestādei ir jāievēro šādus ūdenssaimniecības sabiedrisko pakalpojumu sniegšanas kārtības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(turpmāk – ūdenssaimniecības sabiedrisko pakalpojumu sniedzējs), tad ūdenssaimniecības sabiedrisko pakalpojumu sniegšanas kārtības nosacījumiem jābūt atrunātiem pašvaldības izdotajos saistošajos noteikumos, un tieši: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šo punktu, jo tajā izvirzītās prasības ir pretrunā ar Ūdenssaimniecības pakalpojumu likumā noteikto. Ūdenssaimniecības pakalpojumu likuma 6. panta pirmā daļa nosaka, ka vietējās pašvaldības dome nosaka pašvaldības iestādi, kas pašvaldības administratīvajā teritorijā sniedz sabiedriskos ūdenssaimniecības pakalpojumus un citus noteikta veida ūdenssaimniecības pakalpojumus, vai pilnvaro komersantu vai kooperatīvo sabiedrību sniegt sabiedriskos ūdenssaimniecības pakalpojumus,</w:t>
            </w:r>
            <w:r w:rsidR="00000000" w:rsidRPr="00000000" w:rsidDel="00000000">
              <w:rPr>
                <w:u w:val="single"/>
                <w:rtl w:val="0"/>
              </w:rPr>
              <w:t xml:space="preserve"> noslēdzot ar to līgumu par sabiedrisko ūdenssaimniecības pakalpojumu sniegšanu visā pašvaldības administratīvajā teritorijā vai tās daļā. </w:t>
            </w:r>
            <w:r w:rsidR="00000000" w:rsidRPr="00000000" w:rsidDel="00000000">
              <w:rPr>
                <w:rtl w:val="0"/>
              </w:rPr>
              <w:t xml:space="preserve">Savukārt Ūdenssaimniecības  pakalpojumu likuma 6. panta ceturtajā daļā pašvaldībām ir dots deleģējums  izdot saistošos noteikumu, kuros paredz kārtību, kādā ūdensapgādes tīkli vai kanalizācijas tīkli un būves tiek pievienotas centralizētajai ūdensapgādes sistēmai vai centralizētajai kanalizācijas sistēmai;centralizētās ūdensapgādes sistēmas un centralizētās kanalizācijas sistēmas ekspluatācijas, lietošanas un aizsardzības prasības, kā arī sabiedriskā ūdenssaimniecības pakalpojuma līgumā ietveramos noteikumus, tā slēgšanas, grozīšanas un izbeigšanas noteikumus. Norādām, ka likuma 6. panta ceturtās daļas 3.punktā minētais līgums ir līgums starp sabiedrisko ūdenssaimniecības pakalpojumu sniedzēju un ūdenssaimniecības pakalpojumu lietotāju, nevis starp pakalpojumu sniedzēju un pašvaldību. Praksē 23.</w:t>
            </w:r>
            <w:r w:rsidR="00000000" w:rsidRPr="00000000" w:rsidDel="00000000">
              <w:rPr>
                <w:vertAlign w:val="superscript"/>
                <w:rtl w:val="0"/>
              </w:rPr>
              <w:t xml:space="preserve">2</w:t>
            </w:r>
            <w:r w:rsidR="00000000" w:rsidRPr="00000000" w:rsidDel="00000000">
              <w:rPr>
                <w:rtl w:val="0"/>
              </w:rPr>
              <w:t xml:space="preserve">  punktā minētos nosacījumus iekļauj nevis saistošajos noteikumos, bet gan pašvaldības līgumā ar sabiedrisko ūdenssaimniecības pakalpojumu sniedzēju. Lūdzam ņemt vērā, ka arī Ministru kabineta 2024. gada 7. maija  noteikumu Nr. 285 “Eiropas Savienības kohēzijas politikas programmas 2021.–2027. gadam 2.2.1. specifiskā atbalsta mērķa "Veicināt ilgtspējīgu ūdenssaimniecību"  2.2.1.1. pasākuma "Notekūdeņu un to dūņu apsaimniekošanas sistēmas attīstība piesārņojuma samazināšanai" pirmās projektu iesniegumu atlases kārtas īstenošanas noteikumi” 16. punkts paredz, ka šādi nosacījumi ir jāiekļauj pakalpojuma līgumā, ko sabiedrisko ūdenssaimniecības pakalpojumu sniedzējs – kapitālsabiedrība slēdz ar pašvaldību. Aicinām tādu pašu pieeju izmantot arī 2.3.1.2. pasākumam.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Tāpat norādām, ka saskaņā ar likumu par Sabiedrisko pakalpojumu regulatoriem un Ūdenssaimniecības pakalpojumu likumam sabiedriskos ūdenssaimniecības pakalpojumus regulē (t.sk. tarifus apstiprina) Sabiedrisko pakalpojumu regulēšanas komisija, ja komersanta sniegto sabiedrisko ūdenssaimniecības pakalpojumu apjoms vismaz vienā veidā pārsniedz 100 000 kubikmetru gadā. Likuma par Sabiedrisko pakalpojumu regulatoriem 21. pantā ir nosacījumi par tarifu atklātumu, t.sk. noteikts, ka Regulators lēmumu, ar kuru noteikts tarifs, 10 dienu laikā pēc tā pieņemšanas publicē oficiālajā izdevumā "Latvijas Vēstnesis".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kas ir sabiedrisko ūdenssaimniecības pakalpojumu sniedzēja, pašvaldības iestādei ir jāievēro šādus ūdenssaimniecības sabiedrisko pakalpojumu sniegšanas kārtības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(turpmāk – ūdenssaimniecības sabiedrisko pakalpojumu sniedzējs), tad ūdenssaimniecības sabiedrisko pakalpojumu sniegšanas kārtības nosacījumiem jābūt atrunātiem pašvaldības izdotajos saistošajos noteikumos, un tieši: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23.</w:t>
            </w:r>
            <w:r w:rsidR="00000000" w:rsidRPr="00000000" w:rsidDel="00000000">
              <w:rPr>
                <w:vertAlign w:val="superscript"/>
                <w:rtl w:val="0"/>
              </w:rPr>
              <w:t xml:space="preserve">2</w:t>
            </w:r>
            <w:r w:rsidR="00000000" w:rsidRPr="00000000" w:rsidDel="00000000">
              <w:rPr>
                <w:rtl w:val="0"/>
              </w:rPr>
              <w:t xml:space="preserve"> punkts paredz pašvaldībai tiesības saistošos noteikumus noteikt ūdenssaimniecības sabiedrisko pakalpojumu sniegšanas kārtību, citiem vārdiem, izdot saistošos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novembra noteikumi Nr. 726 “Eiropas Savienības kohēzijas politikas programmas 2021.–2027. gadam 2.3.1. specifiskā atbalsta mērķa “Veicināt ilgtspējīgu daudzveidu mobilitāti pilsētās” 2.3.1.2. pasākuma "Multimodāls sabiedriskā transporta tīkls" īstenošanas noteikumi” (turpmāk - noteikumi Nr.726) izdoti saskaņā ar Eiropas Savienības fondu 2021.—2027. gada plānošanas perioda vadības likuma 19. panta 13. punktu. Eiropas Savienības fondu 2021.—2027. gada plānošanas perioda vadības likuma 19. panta 13. punkts noteic, lai nodrošinātu Eiropas Savienības fondu vadību, Ministru kabinets nosaka specifiskā atbalsta mērķa mērķi, pieejamo finansējumu, nacionālā līdzfinansējuma likmi, prasības projekta iesniedzējam, prasības projekta sadarbības partneriem (ja tos pieaicina), atbalstāmo darbību un izmaksu attiecināmības nosacījumus, tostarp komercdarbības atbalsta piešķiršanas nosacījumus (ja attiecināms), un kārtību, kādā īsteno programmā norādīto Eiropas Savienības fonda specifiskā atbalsta mērķi. Tādejādi tikai Ministru kabineta kompetencē ir regulēt Eiropas Savienības fondu 2021.—2027. gada plānošanas perioda vadības likuma 19. panta 13. punktā noteikto attiecībā uz konkrēto specifiskā atbalsta mērķi. Atbilstoši noteikumiem Nr.726 Eiropas Savienības kohēzijas politikas programmas 2021.–2027. gadam 2.3.1. specifiskā atbalsta mērķa "Veicināt ilgtspējīgu daudzveidu mobilitāti pilsētās" 2.3.1.2. pasākuma "Multimodāls sabiedriskā transporta tīkls" mērķis ir veicināt multimodāla sabiedriskā transporta tīkla attīstību ar dzelzceļu kā sabiedriskā transporta sistēmas mugurkaulu, izveidojot sabiedriskā transporta savienojumu punktus un vienlaikus kopējā mobilitātē veicinot mikromobilitāti.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viena no valsts pārvaldes darbībām ir ārējo normatīvo aktu izdošana gadījumā, kad likumdevējs, ievērojot Satversmi, tos izdot pilnvarojis izpildvaras institūciju. Tā kā šādu normatīvo aktu izdošana ir valsts pārvaldes darbība, Ministru kabinets vai cita institūcija tikai detalizē likumā ietverto politisko gribu vai noteic likuma īstenošanas kārtību (sk. Satversmes tiesas 2016. gada 2. marta sprieduma lietā Nr. 2015-11-03 21.1. punktu). Izpildvaras institūcijai ir tiesības izdot tiesību normas tikai likumā noteiktos gadījumos, likuma ietvaros, un tās nedrīkst būt pretrunā ar vispārējiem tiesību principiem, Satversmi un citiem likumiem. Tas izriet no tiesiskuma un varas dalīšanas principiem, kas ir jebkuras demokrātiskas tiesiskas valsts eksistences pamats (sal. sk. Satversmes tiesas 2018. gada 12. decembra sprieduma lietā Nr. 2018-06-0103 18. punktu). Ņemot vērā minēto, pašvaldības tiesības izdot saistošos noteikumus var paredzēt tikai likumā, vai no likuma ir jāizriet konkrētai likumdevēja gribai nodot jautājuma izlemšanu (attiecīgu saistošo noteikumu izdošanu) pašvaldības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ūdenssaimniecības pakalpojumu sniegšanas kārtību regulē speciālie nozares normatīvie akti (piemēram, Ūdenssaimniecības pakalpojumu likums, likums "Par sabiedrisko pakalpojumu regulatoriem", Ministru kabineta 22.03.2016. noteikumi Nr.174 "Noteikumi par sabiedrisko ūdenssaimniecības pakalpojumu sniegšanu un lietošanu"), nevis Eiropas Savienības fondu 2021.—2027. gada plānošanas perioda vadības likums vai uz tā pamata izdoti Ministru kabineta noteikumi, līdz ar to nav korekti arī pilnvarojumu saistošo noteikumu izdošanai par ūdenssaimniecības sabiedrisko pakalpojumu sniegšanas kārtību ietvert normatīvajos aktos, kas neregulē attiecīgo jomu. Tāpat arī plānotais 23.2 punkts ietver atsauci uz "šo noteikumu 27.15. apakšpunktā minētajām darbībām", kuras "veic pašvaldības iestāde", taču noteikumu Nr.726 27.15. apakšpunkts nenoteic kādas darbības, kuras varētu veikt arī pašvaldības iestāde, bet gan nosauc izmaksas, kuras ietilpst pasākuma 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papildus arī informējam, ka atbilstoši Ministru kabineta 02.11.2022. sēdes protokola Nr.55 37.§ "Informatīvais ziņojums "Par pašvaldību saistošo noteikumu izdošanas pilnvarojumu"" (22-TA-407) 3.punktam visām ministrijām, izstrādājot tiesību akta projektu, kurā ietverts deleģējums pašvaldībām izdot saistošos noteikumus, tika uzdots tiesību akta projekta sākotnējās ietekmes novērtējuma ziņojumā (anotācijā) iekļaut deleģējuma nepieciešamības izvērtējumu ar pamatojumu deleģētā jautājuma atšķirīgam noregulējumam pašvaldībās, kā arī skaidrot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plānoto 23.</w:t>
            </w:r>
            <w:r w:rsidR="00000000" w:rsidRPr="00000000" w:rsidDel="00000000">
              <w:rPr>
                <w:vertAlign w:val="superscript"/>
                <w:rtl w:val="0"/>
              </w:rPr>
              <w:t xml:space="preserve">2</w:t>
            </w:r>
            <w:r w:rsidR="00000000" w:rsidRPr="00000000" w:rsidDel="00000000">
              <w:rPr>
                <w:rtl w:val="0"/>
              </w:rPr>
              <w:t xml:space="preserve"> punktu (noteikumu projekta 8.punkts) un izvērtēt nepieciešamību iekļaut pilnvarojumu saistošo noteikumu izdošanai atbilstošā augstāka spēka normatīvajā aktā (primāri, likumā), kā arī izvērtēt plānotā 23.</w:t>
            </w:r>
            <w:r w:rsidR="00000000" w:rsidRPr="00000000" w:rsidDel="00000000">
              <w:rPr>
                <w:vertAlign w:val="superscript"/>
                <w:rtl w:val="0"/>
              </w:rPr>
              <w:t xml:space="preserve">1</w:t>
            </w:r>
            <w:r w:rsidR="00000000" w:rsidRPr="00000000" w:rsidDel="00000000">
              <w:rPr>
                <w:rtl w:val="0"/>
              </w:rPr>
              <w:t xml:space="preserve"> punkta precizēšanu un 23</w:t>
            </w:r>
            <w:r w:rsidR="00000000" w:rsidRPr="00000000" w:rsidDel="00000000">
              <w:rPr>
                <w:vertAlign w:val="superscript"/>
                <w:rtl w:val="0"/>
              </w:rPr>
              <w:t xml:space="preserve">.3 </w:t>
            </w:r>
            <w:r w:rsidR="00000000" w:rsidRPr="00000000" w:rsidDel="00000000">
              <w:rPr>
                <w:rtl w:val="0"/>
              </w:rPr>
              <w:t xml:space="preserve">punkta iekļaušanu noteikumos Nr.726 (noteikumu projekta 7. un 9.punkts).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 apakšpunkts precizēts, lūdzam skatīt izziņas 3.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kas ir sabiedrisko ūdenssaimniecības pakalpojumu sniedzēja, pašvaldības iestādei ir jāievēro šādus ūdenssaimniecības sabiedrisko pakalpojumu sniegšanas kārtības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(turpmāk – ūdenssaimniecības sabiedrisko pakalpojumu sniedzējs), tad pašvaldība izdod saistošos noteikumus, kuros noteikta ūdenssaimniecības sabiedrisko pakalpojumu sniegšanas kārtība. Pašvaldības saistošajos noteikumos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Plānotais 23.</w:t>
            </w:r>
            <w:r w:rsidR="00000000" w:rsidRPr="00000000" w:rsidDel="00000000">
              <w:rPr>
                <w:vertAlign w:val="superscript"/>
                <w:rtl w:val="0"/>
              </w:rPr>
              <w:t xml:space="preserve">2</w:t>
            </w:r>
            <w:r w:rsidR="00000000" w:rsidRPr="00000000" w:rsidDel="00000000">
              <w:rPr>
                <w:rtl w:val="0"/>
              </w:rPr>
              <w:t xml:space="preserve"> punkts paredz pašvaldībai tiesības izdot saistošos noteikumus par ūdenssaimniecības sabiedrisko pakalpojumu sniegšanas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19. novembra noteikumi Nr. 726 “Eiropas Savienības kohēzijas politikas programmas 2021.–2027. gadam 2.3.1. specifiskā atbalsta mērķa “Veicināt ilgtspējīgu daudzveidu mobilitāti pilsētās” 2.3.1.2. pasākuma "Multimodāls sabiedriskā transporta tīkls" īstenošanas noteikumi” (turpmāk - noteikumi Nr.726) izdoti saskaņā ar Eiropas Savienības fondu 2021.—2027. gada plānošanas perioda vadības likuma 19. panta 13. punktu. Eiropas Savienības fondu 2021.—2027. gada plānošanas perioda vadības likuma 19. panta 13. punkts noteic, lai nodrošinātu Eiropas Savienības fondu vadību, Ministru kabinets nosaka specifiskā atbalsta mērķa mērķi, pieejamo finansējumu, nacionālā līdzfinansējuma likmi, prasības projekta iesniedzējam, prasības projekta sadarbības partneriem (ja tos pieaicina), atbalstāmo darbību un izmaksu attiecināmības nosacījumus, tostarp komercdarbības atbalsta piešķiršanas nosacījumus (ja attiecināms), un kārtību, kādā īsteno programmā norādīto Eiropas Savienības fonda specifiskā atbalsta mērķi. Tādejādi tikai Ministru kabineta kompetencē ir regulēt Eiropas Savienības fondu 2021.—2027. gada plānošanas perioda vadības likuma 19. panta 13. punktā noteikto attiecībā uz konkrēto specifiskā atbalsta mērķi. Atbilstoši noteikumiem Nr.726 Eiropas Savienības kohēzijas politikas programmas 2021.–2027. gadam 2.3.1. specifiskā atbalsta mērķa "Veicināt ilgtspējīgu daudzveidu mobilitāti pilsētās" 2.3.1.2. pasākuma "Multimodāls sabiedriskā transporta tīkls" mērķis ir veicināt multimodāla sabiedriskā transporta tīkla attīstību ar dzelzceļu kā sabiedriskā transporta sistēmas mugurkaulu, izveidojot sabiedriskā transporta savienojumu punktus un vienlaikus kopējā mobilitātē veicinot mikromobilitāti.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viena no valsts pārvaldes darbībām ir ārējo normatīvo aktu izdošana gadījumā, kad likumdevējs, ievērojot Satversmi, tos izdot pilnvarojis izpildvaras institūciju. Tā kā šādu normatīvo aktu izdošana ir valsts pārvaldes darbība, Ministru kabinets vai cita institūcija tikai detalizē likumā ietverto politisko gribu vai noteic likuma īstenošanas kārtību (sk. Satversmes tiesas 2016. gada 2. marta sprieduma lietā Nr. 2015-11-03 21.1. punktu). Izpildvaras institūcijai ir tiesības izdot tiesību normas tikai likumā noteiktos gadījumos, likuma ietvaros, un tās nedrīkst būt pretrunā ar vispārējiem tiesību principiem, Satversmi un citiem likumiem. Tas izriet no tiesiskuma un varas dalīšanas principiem, kas ir jebkuras demokrātiskas tiesiskas valsts eksistences pamats (sal. sk. Satversmes tiesas 2018. gada 12. decembra sprieduma lietā Nr. 2018-06-0103 18. punktu). Ņemot vērā minēto, pašvaldības tiesības izdot saistošos noteikumus var paredzēt tikai likumā, vai no likuma ir jāizriet konkrētai likumdevēja gribai nodot jautājuma izlemšanu (attiecīgu saistošo noteikumu izdošanu) pašvaldības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ūdenssaimniecības pakalpojumu sniegšanas kārtību regulē speciālie nozares normatīvie akti (piemēram, Ūdenssaimniecības pakalpojumu likums, likums "Par sabiedrisko pakalpojumu regulatoriem", Ministru kabineta 22.03.2016. noteikumi Nr.174 "Noteikumi par sabiedrisko ūdenssaimniecības pakalpojumu sniegšanu un lietošanu"), nevis Eiropas Savienības fondu 2021.—2027. gada plānošanas perioda vadības likums vai uz tā pamata izdoti Ministru kabineta noteikumi, līdz ar to nav korekti arī pilnvarojumu saistošo noteikumu izdošanai par ūdenssaimniecības sabiedrisko pakalpojumu sniegšanas kārtību ietvert normatīvajos aktos, kas neregulē attiecīgo jomu. Tāpat arī plānotais 23.</w:t>
            </w:r>
            <w:r w:rsidR="00000000" w:rsidRPr="00000000" w:rsidDel="00000000">
              <w:rPr>
                <w:vertAlign w:val="superscript"/>
                <w:rtl w:val="0"/>
              </w:rPr>
              <w:t xml:space="preserve">2</w:t>
            </w:r>
            <w:r w:rsidR="00000000" w:rsidRPr="00000000" w:rsidDel="00000000">
              <w:rPr>
                <w:rtl w:val="0"/>
              </w:rPr>
              <w:t xml:space="preserve"> punkts ietver atsauci uz "šo noteikumu 27.15. apakšpunktā minētajām darbībām", kuras "veic pašvaldības iestāde", taču noteikumu Nr.726 27.15. apakšpunkts nenoteic kādas darbības, kuras varētu veikt arī pašvaldības iestāde, bet gan nosauc izmaksas, kuras ietilpst pasākuma tiešajās attiecināmajās izmaksās.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papildus arī informējam, ka atbilstoši Ministru kabineta 02.11.2022. sēdes protokola Nr.55 37.§ "Informatīvais ziņojums "Par pašvaldību saistošo noteikumu izdošanas pilnvarojumu"" (22-TA-407) 3.punktam visām ministrijām, izstrādājot tiesību akta projektu, kurā ietverts deleģējums pašvaldībām izdot saistošos noteikumus, tika uzdots tiesību akta projekta sākotnējās ietekmes novērtējuma ziņojumā (anotācijā) iekļaut deleģējuma nepieciešamības izvērtējumu ar pamatojumu deleģētā jautājuma atšķirīgam noregulējumam pašvaldībās, kā arī skaidrot deleģējuma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svītrot plānoto 23.</w:t>
            </w:r>
            <w:r w:rsidR="00000000" w:rsidRPr="00000000" w:rsidDel="00000000">
              <w:rPr>
                <w:vertAlign w:val="superscript"/>
                <w:rtl w:val="0"/>
              </w:rPr>
              <w:t xml:space="preserve">2</w:t>
            </w:r>
            <w:r w:rsidR="00000000" w:rsidRPr="00000000" w:rsidDel="00000000">
              <w:rPr>
                <w:rtl w:val="0"/>
              </w:rPr>
              <w:t xml:space="preserve"> punktu (noteikumu projekta 8.punkts) un izvērtēt nepieciešamību iekļaut pilnvarojumu saistošo noteikumu izdošanai atbilstošā augstāka spēka normatīvajā aktā (primāri, likumā), kā arī izvērtēt plānotā 23.</w:t>
            </w:r>
            <w:r w:rsidR="00000000" w:rsidRPr="00000000" w:rsidDel="00000000">
              <w:rPr>
                <w:vertAlign w:val="superscript"/>
                <w:rtl w:val="0"/>
              </w:rPr>
              <w:t xml:space="preserve">1</w:t>
            </w:r>
            <w:r w:rsidR="00000000" w:rsidRPr="00000000" w:rsidDel="00000000">
              <w:rPr>
                <w:rtl w:val="0"/>
              </w:rPr>
              <w:t xml:space="preserve"> punkta precizēšanu un 23.</w:t>
            </w:r>
            <w:r w:rsidR="00000000" w:rsidRPr="00000000" w:rsidDel="00000000">
              <w:rPr>
                <w:vertAlign w:val="superscript"/>
                <w:rtl w:val="0"/>
              </w:rPr>
              <w:t xml:space="preserve">3</w:t>
            </w:r>
            <w:r w:rsidR="00000000" w:rsidRPr="00000000" w:rsidDel="00000000">
              <w:rPr>
                <w:rtl w:val="0"/>
              </w:rPr>
              <w:t xml:space="preserve"> punkta iekļaušanu noteikumos Nr.726 (noteikumu projekta 7. un 9.punkts).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nosakot ka VTNP nosacījumiem jābūt atrunātiem pašvaldības izdotajos saistošajos noteikumos. 23.² punkts nevar tikt dzēst, jo pretējā gadījumā MK noteikumos nebūs atrunāts, kādi nosacījumi attiecas uz gadījumiem, kad VTNP pakalpojumus sniedz pašvaldības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kas ir sabiedrisko ūdenssaimniecības pakalpojumu sniedzēja, pašvaldības iestādei ir jāievēro šādus ūdenssaimniecības sabiedrisko pakalpojumu sniegšanas kārtības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3. sabiedrisko ūdenssaimniecības pakalpojumu tarifus;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(KEM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aizstāt vārdu "tarifus" ar vārdiem "maksu par sniegtajiem ūdenssaimniecības pakalpojumiem." Atbilstoši Ūdenssaimniecības pakalpojumu likuma 5.panta trešās daļas trešajam punktam tarifus Sabiedrisko pakalpojumu regulēšanas komisija nosaka regulējama komersanta (t.i. pašvaldības kapitālsabiedrības) sniegtajiem sabiedriskajiem ūdenssaimniecības pakalpojumiem. Savukārt atbilstoši Ūdenssaimniecības pakalpojumu likuma 6. panta otrajai daļai par pašvaldības iestādes un kooperatīvās sabiedrības sniegtajiem ūdenssaimniecības pakalpojumiem nosaka maksu, un to dara pašvaldības dome. Tā kā 23.</w:t>
            </w:r>
            <w:r w:rsidR="00000000" w:rsidRPr="00000000" w:rsidDel="00000000">
              <w:rPr>
                <w:vertAlign w:val="superscript"/>
                <w:rtl w:val="0"/>
              </w:rPr>
              <w:t xml:space="preserve">2</w:t>
            </w:r>
            <w:r w:rsidR="00000000" w:rsidRPr="00000000" w:rsidDel="00000000">
              <w:rPr>
                <w:rtl w:val="0"/>
              </w:rPr>
              <w:t xml:space="preserve"> punkts attiecas uz pašvaldības iestādi, jālieto vārds "maksa".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23.23. pašvaldības domes noteikto maksu par sniegtajiem sabiedriskajiem ūdenssaimniecības pakalpojumiem;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Mainīta numerācija.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3. pašvaldības domes noteikto maksu par sniegtajiem sabiedriskiem ūdenssaimniecības pakalpojumiem;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Gadījumā, ja sabiedrisko ūdenssaimniecības pakalpojumu sniedzējs ir pašvaldība, pašvaldība pieņem lēmumu par sabiedrisko ūdenssaimniecības pakalpojumu sniegšanu. Lēmumā norāda: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(VARAM - 03.09.2025.)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tiesību normā paredzētās prasības nenoteikt pašvaldības lēmumam par sabiedrisko ūdenssaimniecības pakalpojumu sniegšanu, bet noteikt pašvaldībai (projekta iesniedzējai) attiecīgus nosacījumus, jo Ūdenssaimniecības pakalpojumu likums regulē ūdenssaimniecības pakalpojumus, tostarp pašvaldības tiesības pieņemt lēmumu par sabiedrisko ūdenssaimniecības pakalpojumu 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 mainīta numerācija: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Gadījumā, ja sabiedrisko ūdenssaimniecības pakalpojumu sniedzējs ir pašvaldība, tad pašvaldībai kā projekta iesniedzējam jāatbilst šādiem nosacījumiem: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sz w:val="20"/>
                <w:vertAlign w:val="superscript"/>
                <w:rtl w:val="0"/>
              </w:rPr>
              <w:t xml:space="preserve">2</w:t>
            </w:r>
            <w:r w:rsidR="00000000" w:rsidRPr="00000000" w:rsidDel="00000000">
              <w:rPr>
                <w:rtl w:val="0"/>
              </w:rPr>
              <w:t xml:space="preserve">1. skaidri noteikti konkrētie sniedzamie sabiedriskie ūdenssaimniecības pakalpojumi;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sz w:val="20"/>
                <w:vertAlign w:val="superscript"/>
                <w:rtl w:val="0"/>
              </w:rPr>
              <w:t xml:space="preserve">2</w:t>
            </w:r>
            <w:r w:rsidR="00000000" w:rsidRPr="00000000" w:rsidDel="00000000">
              <w:rPr>
                <w:rtl w:val="0"/>
              </w:rPr>
              <w:t xml:space="preserve">2. noteikta sabiedrisko ūdenssaimniecības pakalpojumu sniegšanas teritorija;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sz w:val="20"/>
                <w:vertAlign w:val="superscript"/>
                <w:rtl w:val="0"/>
              </w:rPr>
              <w:t xml:space="preserve">2</w:t>
            </w:r>
            <w:r w:rsidR="00000000" w:rsidRPr="00000000" w:rsidDel="00000000">
              <w:rPr>
                <w:rtl w:val="0"/>
              </w:rPr>
              <w:t xml:space="preserve">3. noteikta maksa par sabiedriskajiem ūdenssaimniecības pakalpojumiem, tai skaitā nepieciešamā infrastruktūra;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sz w:val="20"/>
                <w:vertAlign w:val="superscript"/>
                <w:rtl w:val="0"/>
              </w:rPr>
              <w:t xml:space="preserve">2</w:t>
            </w:r>
            <w:r w:rsidR="00000000" w:rsidRPr="00000000" w:rsidDel="00000000">
              <w:rPr>
                <w:rtl w:val="0"/>
              </w:rPr>
              <w:t xml:space="preserve">4. noteikts sabiedrisko ūdenssaimniecības pakalpojumu sniegšanas laiks, kas nav īsāks par pieciem gadiem un nepārsniedz 10 gadus;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sz w:val="20"/>
                <w:vertAlign w:val="superscript"/>
                <w:rtl w:val="0"/>
              </w:rPr>
              <w:t xml:space="preserve">2</w:t>
            </w:r>
            <w:r w:rsidR="00000000" w:rsidRPr="00000000" w:rsidDel="00000000">
              <w:rPr>
                <w:rtl w:val="0"/>
              </w:rPr>
              <w:t xml:space="preserve">5. iekļauta atsauce uz Eiropas Komisijas lēmumu Nr. 2012/21/ES.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Gadījumā, ja sabiedrisko ūdenssaimniecības pakalpojumu sniedzējs ir pašvaldība, tad pašvaldībai kā projekta iesniedzējam jāatbilst šādiem nosacījumiem: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tiešās attiecināmās izmaksas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anotācijā ietverto informāciju, ka pasākumā plānots piešķirt finansējumu arī publisko labierīcību ierīkošanai, lūdzam noteikumu 27.punktu papildināt arī ar šīm attiecināmajām izmaksām. Papildus skaidrojam, ka finansējums publisko labierīcību ierīkošanai nav komercdarbības atbalsts, t.sk. VTNP pakalpojums, līdz ar to no noteikumiem jābūt skaidram, kam šīs izmaksas tiks segtas. Attiecīgi ir jāprecizē noteikumi un ar skaidrojumu lūdzam papildināt arī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Finanšu ministrijas izteikto iebildumu, noteikumu projekts papildināts ar 27.10.</w:t>
            </w:r>
            <w:r w:rsidR="00000000" w:rsidRPr="00000000" w:rsidDel="00000000">
              <w:rPr>
                <w:vertAlign w:val="superscript"/>
                <w:rtl w:val="0"/>
              </w:rPr>
              <w:t xml:space="preserve">1</w:t>
            </w:r>
            <w:r w:rsidR="00000000" w:rsidRPr="00000000" w:rsidDel="00000000">
              <w:rPr>
                <w:rtl w:val="0"/>
              </w:rPr>
              <w:t xml:space="preserve"> apakšpunktu un skaidrojumu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27.10.1 publisko labierīcību ierīkošanas izmaksas ēkās vai sanitāro moduļu ierīkošanas izmaksas sabiedriskā transporta savienojumu punktā;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2.lpp. papildināta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Finansējums publisko labierīcību ierīkošanai nav komercdarbības atbalsts, t.sk. VTNP pakalpojums.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tiešās attiecināmās izmaksas ir:</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27.15. ūdensapgādes, sadzīves kanalizācijas un notekūdeņu savākšanas un novadīšanas infrastruktūras ierīkošanas izmaksas sabiedriskā transporta savienojumu punktos, ievērojot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punkta prasības, īsteno atbilstoši Eiropas Komisijas Lēmumā Nr. 2012/21/ES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- 27.03.2025.)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ar kuru groza Ministru kabineta 2024. gada 19. novembra noteikumus Nr. 726 "Eiropas Savienības kohēzijas politikas programmas 2021.–2027. gadam 2.3.1. specifiskā atbalsta mērķa “Veicināt ilgtspējīgu daudzveidu mobilitāti pilsētās” 2.3.1.2. pasākuma “Multimodāls sabiedriskā transporta tīkls” īstenošanas noteikumi" (turpmāk – Noteikumi Nr. 726), ir ietvertas atsauces uz Eiropas Komisijas 2011. gada 20. decembra Lēmumu Nr. 2012/21/ES (turpmāk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skaidri paredz, ka tas ir adresēts dalībvalstīm. Attiecīgi Lēmuma normas var būt tieši saistošas tikai valsts institūcijām, nevis privātpersonām (t.sk. juridiskajām). Ja Lēmuma normas jāpiemēro arī privātpersonām, tās ir jāpārņem nacionālajos normatīvajos aktos līdzīgi kā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noteikts, ka noteiktas infrastruktūras izmaksas īstenojamas, ievērojot Lēmuma prasības, savukārt 19. punktā minēti finansējuma saņēmēji, tostarp pašvaldību kapitālsabiedrības – juridiskas personas. Tādējādi Lēmuma prasības tiek faktiski attiecinātas uz privātpersonām, nepārņemot tās nacionālajā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16. un 18. punktā svītrot atsauces uz Lēmumu un attiecīgās Lēmuma normas, kuras nepieciešams padarīt saistošas juridiskajām personām, pārņemt (iestrādāt) noteikumu projektā līdzīgi kā Eiropas Savienības direktīvu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attiecībā uz 27.15.apakšpunkta redakciju: “27.15. ūdensapgādes, sadzīves kanalizācijas un notekūdeņu savākšanas un novadīšanas infrastruktūras ierīkošanas izmaksas sabiedriskā transporta savienojumu punktos, ievērojot šo noteikumu 23.¹, 23.², 23.³ punkta prasības, īsteno atbilstoši Eiropas Komisijas Lēmumā Nr. 2012/21/ES noteiktajām prasībām”, uzskatam, ka minēto atsauci nav nepieciešams dzēst, jo tā raksturo kāds valsts atbalsta veids tiek piemērots šīm izmaksām (līdzīgi kā atsauce 27.9. un 27.13. apakšpunktos).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 uz EK lēmumu ir nepieciešama, lai norādītu atbilstoši kādam VA režīmam atbalsts tiks sniegts. Vēršam uzmanību, ka arī citos SAM MK noteikumos ir apstiprināta šāda juridiskā konstrukcija (piemēram, SAM 5.1.1.1., 6.1.1.3., 2.1.1.6).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27.15. ūdensapgādes, notekūdeņu savākšanas un novadīšanas infrastruktūras ierīkošanas izmaksas sabiedriskā transporta savienojumu punktos, ievērojot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punkta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27.15. ūdensapgādes, sadzīves kanalizācijas un notekūdeņu savākšanas un novadīšanas infrastruktūras ierīkošanas izmaksas sabiedriskā transporta savienojumu punktos, ievērojot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punkta prasības, īsteno atbilstoši Eiropas Komisijas Lēmumā Nr. 2012/21/ES noteiktajām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- 17.06.2025.)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noteikumu projektā, ar kuru groza Ministru kabineta 2024. gada 19. novembra noteikumus Nr. 726 "Eiropas Savienības kohēzijas politikas programmas 2021.–2027. gadam 2.3.1. specifiskā atbalsta mērķa “Veicināt ilgtspējīgu daudzveidu mobilitāti pilsētās” 2.3.1.2. pasākuma “Multimodāls sabiedriskā transporta tīkls” īstenošanas noteikumi" (turpmāk – Noteikumi Nr. 726), ietvertas atsauces uz Eiropas Komisijas 2011. gada 20. decembra Lēmumu Nr. 2012/21/ES (turpmāk –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Lēmuma 13. pants skaidri paredz, ka tas ir adresēts dalībvalstīm. Attiecīgi Lēmuma normas var būt tieši saistošas tikai valsts institūcijām, nevis privātpersonām (t.sk. juridiskajām). Ja Lēmuma normas jāpiemēro arī privātpersonām, tās ir jāpārņem nacionālajos normatīvajos aktos līdzīgi kā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16. punktā noteikts, ka noteiktas infrastruktūras izmaksas īstenojamas, ievērojot Lēmuma prasības, savukārt 19. punktā minēti finansējuma saņēmēji, tostarp pašvaldību kapitālsabiedrības – juridiskas personas. Tādējādi Lēmuma prasības tiek faktiski attiecinātas uz privātpersonām, nepārņemot tās nacionālajā tiesību aktā.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noteikumu projekta 20. un 22. punktā svītrot atsauci uz Lēmumu un attiecīgās Lēmuma normas, kuras nepieciešams padarīt saistošas juridiskajām personām, pārņemt (iestrādāt) noteikumu projektā līdzīgi kā Eiropas Savienības direktīvu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27.15. ūdensapgādes, notekūdeņu savākšanas un novadīšanas infrastruktūras ierīkošanas izmaksas sabiedriskā transporta savienojumu punktos, ievērojot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punkta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nodrošina, ka projekta dokumentācija par darbībām, uz kurām nav attiecināmi komercdarbības atbalsta nosacījumi, ir pieejama piecus gadus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noteikumi ir papildināti ar 42.8.apakšpunktu, kas nosaka projekta dokumentācijas par darbībām, uz kurām nav attiecināmi komercdarbības atbalsta nosacījumi, pieejamību piecus gadus pēc noslēguma maksājuma veikšanas, kā arī ņemot vērā  noteikumu 48., 49. un 54.puntā ietvertos nosacījumus par projektiem, uz kuriem nav attiecināmi komercdarbības atbalsta nosacījumi, t.sk. par to uzraudzību ieguldījumu amortizācijas periodā - projekta dzīves ciklā, arī projekta dokumentācijai ir jābūt pieejamai visu šo laiku. Attiecīgi lūdzam precizēt noteikumu 42.8.apakšpunktu.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nodrošina, ka projekta dokumentācija par darbībām, uz kurām nav attiecināmi komercdarbības atbalsta nosacījumi, ir pieejama projekta amortizācijas periodā (projekta dzīves ciklā);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Šo noteikumu ietvaros piešķirto VTNP atbalstu var kumulēt ar citu komercdarbības atbalstu un </w:t>
            </w:r>
            <w:r w:rsidR="00000000" w:rsidRPr="00000000" w:rsidDel="00000000">
              <w:rPr>
                <w:i w:val="1"/>
                <w:rtl w:val="0"/>
              </w:rPr>
              <w:t xml:space="preserve">de minimis</w:t>
            </w:r>
            <w:r w:rsidR="00000000" w:rsidRPr="00000000" w:rsidDel="00000000">
              <w:rPr>
                <w:rtl w:val="0"/>
              </w:rPr>
              <w:t xml:space="preserve"> atbalstu: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Komisijas regulas Nr. 2023/2832 par Līguma par Eiropas Savienības darbību 107. un 108. panta piemērošanu de minimis atbalstam, ko piešķir uzņēmumiem, kuri sniedz pakalpojumus ar vispārēju tautsaimniecisku nozīmi 5.panta 2.punktā noteikto, lūdzam precizēt noteikumu 65</w:t>
            </w:r>
            <w:r w:rsidR="00000000" w:rsidRPr="00000000" w:rsidDel="00000000">
              <w:rPr>
                <w:vertAlign w:val="superscript"/>
                <w:rtl w:val="0"/>
              </w:rPr>
              <w:t xml:space="preserve">1</w:t>
            </w:r>
            <w:r w:rsidR="00000000" w:rsidRPr="00000000" w:rsidDel="00000000">
              <w:rPr>
                <w:rtl w:val="0"/>
              </w:rPr>
              <w:t xml:space="preserve"> punktu tā, lai skaidrs, ka VTNP atbalstu nevar kumulēt ar atbalstu, kas sniegts ar šo regulu.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 Šo noteikumu ietvaros piešķirto VTNP atbalstu var kumulēt ar citu komercdarbības atbalstu, izņemot ar </w:t>
            </w:r>
            <w:r w:rsidR="00000000" w:rsidRPr="00000000" w:rsidDel="00000000">
              <w:rPr>
                <w:i w:val="1"/>
                <w:rtl w:val="0"/>
              </w:rPr>
              <w:t xml:space="preserve">de minimis</w:t>
            </w:r>
            <w:r w:rsidR="00000000" w:rsidRPr="00000000" w:rsidDel="00000000">
              <w:rPr>
                <w:rtl w:val="0"/>
              </w:rPr>
              <w:t xml:space="preserve"> atbalstu: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sniegt skaidrojumu par ierosināto grozījumu ietekmi uz uzsākto projektu iesniegumu atlases kārtu, projekta iesniedzējiem vai finansējuma saņēmējiem , kā arī nepieciešamības gadījumā noteikumu grozījumu projektā ietvert pārejas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lai būtu skaidri saprotams, vai ir plānota projektu iesniedzēju informēšana par grozījumiem, pēc to apstiprināšanas Ministru kabinetā, kā arī kāda varētu būt grozījumu ietekme uz plānotajiem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ir jau par kāda projekta īstenošanu noslēgts līgums, lūdzam anotācijā ietvert informāciju, vai būs nepieciešams veikt grozījumus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ierosinātajiem grozījumiem nav ietekmes uz atlases kārtu, lūdzam ar šādu informāciju papildināt anotāciju, lai būtu pārliecība, ka grozījumu ietekmes izvērtējums ir veikts, un ir nodrošinātas informācijas izsekojamība.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anotācijas 1.3.sadaļā "Pašreizējā situācija, problēmas un risinājumi" nevis tikai uzskaitīt, kuros punktos, kādi grozījumi tiek veikti, bet papildināt konkrēto sadaļu ar skaidrojumu, kāpēc ir nepieciešami rosinātie grozījumi, t.sk., kāda ir esošā situācija un kāpēc ir nepieciešami grozījumi, kādā veidā rosinātie grozījumi sniegs ieguldījumu/atbalstu konkrētā pasākuma projektu īstenošanā.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nerada ietekmi uz projektu iesniegumu atlases procesu.  Grozījumu mērķis ir sniegt detalizētāku skaidrojumu VTNP nosacījumu piemērošanai, kā arī veikti daži tehniskie precizējumi. Grozījumu ietvaros netiek veiktas izmaiņas vai precizējumi pasākuma īstenošanas termiņos, finansējuma apmērā un atbalstāmajās izmaksās. Tādējādi, nav nepieciešama atsevišķa projektu iesniedzēju informēšana.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anotācijas 8.2.sadaļu, norādot, ka 2.3.1.2. pasākumam ir tieša ietekme uz HP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2.3.1.2. pasākuma “Multimodāls sabiedriskā transporta tīkls” noteikumu projekta grozījumos ietverto atbalstāmo darbību un izmaksu tvērumu, kas ietver sabiedriskā transporta savienojumu punktu izbūvi un pārbūvi (26.1. un  27.2. apakšpunkts), mikromobilitātes infrastruktūras izveidi (26.2. apakšpunkts), parastās jaudas uzlādes punktu izbūvi (26.3. un 27.13. apakšpunkts), ielu, ceļu un veloinfrastruktūras izbūvi un pārbūvi (27.8. un 27.8.1. apakšpunkts), lietusūdens kanalizācijas infrastruktūras izbūvi un pārbūvi (27.4. apakšpunkts), apgaismojuma sistēmu izbūvi un renovāciju (27.5. un 27.8.2. apakšpunkts), kā arī elektroapgādes un inženiertīklu pārbūvi (27.9. un 27.10. apakšpunkts), jau iepriekšējā iterācijā norādījām, ka, saskaņā ar “Eiropas Komisijas tehniskajiem norādījumiem par infrastruktūras klimatdrošināšanu 2021.–2027. gada periodā (2021/C 373/01)”, 2.3.1.2. pasākumam ir tieša pozitīva ietekme uz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Investīcijām ir netieša ietekme un horizontālo principu (HP) "Vienlīdzība, iekļaušana, nediskriminācija, un pamattiesību ievērošana" un tieša ietekme uz horizontālo principu "Klimatnodrošināšana", kā arī tiešā ietekme uz "Energoefektivitāte pirmajā vietā, nodrošinot energoefektīvā apgaismojuma izbūvi.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2.3.1.2. pasākuma “Multimodāls sabiedriskā transporta tīkls” noteikumu projekta grozījumos ietverto atbalstāmo darbību un izmaksu tvērumu, kas ietver sabiedriskā transporta savienojumu punktu izbūvi un pārbūvi (26.1. un  27.2. apakšpunkts), mikromobilitātes infrastruktūras izveidi (26.2. apakšpunkts), parastās jaudas uzlādes punktu izbūvi (26.3. un 27.13. apakšpunkts), ielu, ceļu un veloinfrastruktūras izbūvi un pārbūvi (27.8. un 27.8.1. apakšpunkts), lietusūdens kanalizācijas infrastruktūras izbūvi un pārbūvi (27.4. apakšpunkts), apgaismojuma sistēmu izbūvi un renovāciju (27.5. un 27.8.2. apakšpunkts), kā arī elektroapgādes un inženiertīklu pārbūvi (27.9. un 27.10. apakšpunkts), secinām, ka, saskaņā ar “Eiropas Komisijas tehniskajiem norādījumiem par infrastruktūras klimatdrošināšanu 2021.–2027. gada periodā (2021/C 373/01)”, 2.3.1.2. pasākumam ir tieša pozitīva ietekme uz horizontālo principu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viennozīmīgi skaidru un izsekojamu informāciju, lūdzam precizēt anotācijas 8.2.sadaļu, norādot, ka 2.3.1.2. pasākumam ir tieša ietekme uz HP "Klimatdrošināšana".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8.1.8. uz iedzīvotāju sociālo situāciju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ir tieša pozitīva ietekme uz horizontālā principa "Vienlīdzība, iekļaušana, nediskriminācija un pamattiesību ievērošana"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Infrastruktūras attīstības rezultātā ir sagaidāms, ka palielināsies sabiedriskā transporta un mikromobilitātes infrastruktūras un rīku lietotāju skaits. Proti, attiecīgās infrastruktūras izveidošana stimulēs velosipēda izmantošanu ikdienā, kam ir būtiska loma sabiedrības sociālajā dzīvē (piemēram, nodrošināta mobilitāte mājsaimniecībām ar zemākiem ienākumiem, uzlabota sabiedrības veselība un ietaupīti veselības aprūpē nodalīto budžetu resursi, paaugstināta dzīves kvalitāte, u.c.).</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8.2.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par projektā plānotajām darbībām ir noslēgts būvniecības līgums, kurā noteikts, ka būvdarbi jāpabeidz līdz 2026.gada 30.jūnijam, tai skaitā izbūvētā vai pārbūvētā infrastruktūra ir nodota ekspluatācijā, ko apliecina pieņemšanas un nodošanas akts.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Normas viennozīmīgai uztverei lūdzam papildināt noteikumu projekta 18.2.apakšpunktu pēc vārda "darbībām" ar atrunu "kuras nav kvalificējamas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18.2. par projektā plānotajām darbībām, kuras nav kvalificējamas kā komercdarbības atbalsts, ir noslēgts būvniecības līgums, kurā noteikts, ka būvdarbi jāpabeidz līdz 2026.gada 30.jūnijam, tai skaitā izbūvētā vai pārbūvētā infrastruktūra ir nodota ekspluatācijā, ko apliecina pieņemšanas un nodošanas akts.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prasības ūdenssaimniecības sabiedrisko pakalpojumu sniedzējam par nepieciešamā tehniskā aprīkojuma uzturēšanu un atjaunošanu, lai nodrošinātu minēto pakalpojumu izpildi saskaņā ar katram konkrētajam pakalpojumam izvirzītajām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- 18.06.2025.)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terminoloģiju visā noteikumu projektā ar Ūdenssaimniecības pakalpojumu likumā lietotajiem terminiem -  </w:t>
            </w:r>
            <w:r w:rsidR="00000000" w:rsidRPr="00000000" w:rsidDel="00000000">
              <w:rPr>
                <w:u w:val="single"/>
                <w:rtl w:val="0"/>
              </w:rPr>
              <w:t xml:space="preserve">sabiedrisko  ūdenssaimniecības pakalpojumu sniedzējs, sabiedriskie ūdenssaimniecības pakalpojumi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23.3. prasības sabiedrisko ūdenssaimniecības pakalpojumu sniedzējam par nepieciešamā tehniskā aprīkojuma uzturēšanu un atjaunošanu, lai nodrošinātu minēto pakalpojumu izpildi saskaņā ar katram konkrētajam pakalpojumam izvirzītajām prasībām;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ūdenssaimniecības sabiedrisko pakalpojumu sniedzējam piešķirtās ekskluzīvās vai īpašās tiesības;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2024. gada 19. novembra noteikumu Nr. 726 "Eiropas Savienības kohēzijas politikas programmas 2021.–2027. gadam 2.3.1. specifiskā atbalsta mērķa "Veicināt ilgtspējīgu daudzveidu mobilitāti pilsētās" 2.3.1.2. pasākuma "Multimodāls sabiedriskā transporta tīkls" īstenošanas noteikumi" (turpmāk - MK noteikumi Nr.726) 23.6.apakš</w:t>
            </w:r>
            <w:r w:rsidR="00000000" w:rsidRPr="00000000" w:rsidDel="00000000">
              <w:rPr>
                <w:rtl w:val="0"/>
              </w:rPr>
              <w:t xml:space="preserve">punkta redakciju atbilstoši Komisijas lēmuma par Līguma par Eiropas Savienības darbību 106.panta 2.punkta piemērošanu valsts atbalstam attiecībā uz kompensāciju par sabiedriskajiem pakalpojumiem dažiem uzņēmumiem, kuriem uzticēts sniegt pakalpojumus ar vispārēju tautsaimniecisku nozīmi (2012/21/ES) 4.panta c) apakšpunktam. Vēršam uzmanību, ka līgumā nav jābūt lietotam terminam 'īpašas' vai 'ekskluzīvas' tiesības, bet līgumā jābūt ietvertai īpašo vai ekskluzīvo tiesību būtībai, kā to nosaka iepriekšminētā EK lēmuma 4.panta c) apakšpunkts. Redakcijas piemērs: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ūdenssaimniecības sabiedrisko pakalpojumu sniedzējam piešķirto ekskluzīvo vai īpašo tiesību būtību.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23.6. sabiedrisko ūdenssaimniecības pakalpojumu sniedzējam piešķirto ekskluzīvo vai īpašo tiesību būtība;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kas ir sabiedrisko ūdenssaimniecības pakalpojumu sniedzēja, pašvaldības iestādei ir jāievēro šādus ūdenssaimniecības sabiedrisko pakalpojumu sniegšanas kārtības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pakalpojuma ar vispārēju tautsaimniecisku nozīmi sniegšanu uztic attiecīgajam uzņēmumam ar vienu vai vairākiem aktiem, lūdzam precizēt noteikumu 23.</w:t>
            </w:r>
            <w:r w:rsidR="00000000" w:rsidRPr="00000000" w:rsidDel="00000000">
              <w:rPr>
                <w:vertAlign w:val="superscript"/>
                <w:rtl w:val="0"/>
              </w:rPr>
              <w:t xml:space="preserve">1 </w:t>
            </w:r>
            <w:r w:rsidR="00000000" w:rsidRPr="00000000" w:rsidDel="00000000">
              <w:rPr>
                <w:rtl w:val="0"/>
              </w:rPr>
              <w:t xml:space="preserve">un 23.</w:t>
            </w:r>
            <w:r w:rsidR="00000000" w:rsidRPr="00000000" w:rsidDel="00000000">
              <w:rPr>
                <w:vertAlign w:val="superscript"/>
                <w:rtl w:val="0"/>
              </w:rPr>
              <w:t xml:space="preserve">2 </w:t>
            </w:r>
            <w:r w:rsidR="00000000" w:rsidRPr="00000000" w:rsidDel="00000000">
              <w:rPr>
                <w:rtl w:val="0"/>
              </w:rPr>
              <w:t xml:space="preserve">punktu, nosakot, kas būs tas pilnvarojuma akts, kurā ir iekļauti nosacījumi, kas izriet no  Eiropas Komisijas 2011. gada 20. decembra Lēmuma Nr. 2012/21/ES </w:t>
            </w:r>
            <w:r w:rsidR="00000000" w:rsidRPr="00000000" w:rsidDel="00000000">
              <w:rPr>
                <w:i w:val="1"/>
                <w:rtl w:val="0"/>
              </w:rPr>
              <w:t xml:space="preserve">par Līguma par Eiropas Savienības darbību 106. panta 2. punkta piemērošanu valsts atbalstam attiecībā uz kompensāciju par sabiedriskajiem pakalpojumiem dažiem uzņēmumiem, kuriem uzticēts sniegt pakalpojumus ar vispārēju tautsaimniecisku nozīmi </w:t>
            </w:r>
            <w:r w:rsidR="00000000" w:rsidRPr="00000000" w:rsidDel="00000000">
              <w:rPr>
                <w:rtl w:val="0"/>
              </w:rPr>
              <w:t xml:space="preserve">(turpmāk - VTNP lēmums).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to, ka atsauce uz VTNP lēmumu drīkst būt tajos noteikumu punktos, kur ir runa par nosacījumiem, kas jāiestrādā līgumos/lēmumos/saistošajos noteikumos par VTNP pakalpojumu sniegšanu, lai nodrošinātu atbilstību VTNP lēmuma 4. panta f) apakšpunktā noteiktajam, lūdzam papildināt noteikumu 23.</w:t>
            </w:r>
            <w:r w:rsidR="00000000" w:rsidRPr="00000000" w:rsidDel="00000000">
              <w:rPr>
                <w:vertAlign w:val="superscript"/>
                <w:rtl w:val="0"/>
              </w:rPr>
              <w:t xml:space="preserve">1</w:t>
            </w:r>
            <w:r w:rsidR="00000000" w:rsidRPr="00000000" w:rsidDel="00000000">
              <w:rPr>
                <w:rtl w:val="0"/>
              </w:rPr>
              <w:t xml:space="preserve"> punktu ar atsauci uz VTNP lēmumu.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ņemot vērā noteikumu 19. punktā norādīto, ka projektu iesniedzēji ir pašvaldības un pašvaldību kapitālsabiedrības, lūdzam skaidrot un MK skaidri norādīt, kurš būs projekta iesniedzējs 23.</w:t>
            </w:r>
            <w:r w:rsidR="00000000" w:rsidRPr="00000000" w:rsidDel="00000000">
              <w:rPr>
                <w:vertAlign w:val="superscript"/>
                <w:rtl w:val="0"/>
              </w:rPr>
              <w:t xml:space="preserve">1</w:t>
            </w:r>
            <w:r w:rsidR="00000000" w:rsidRPr="00000000" w:rsidDel="00000000">
              <w:rPr>
                <w:rtl w:val="0"/>
              </w:rPr>
              <w:t xml:space="preserve"> punktā minētās pašvaldības iestādes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23.1 un 23.2 punktos atrunāti nosacījumi, kurus jāievēro VTNP pakalpojumu sniedzējam.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23.punkts ar atsauci uz EK lēmumu atrunā līguma nosacījumus, kuru būs jāslēdz, lai īstenotu projektu, tāpēc atsauce ir pievienota (punktā par projekta iesniedzēju, kas nav sabiedrisko ūdenssaimniecības pakalpojumu sniedzējs un projekta ietvaros plānotas šo noteikumu 27.15. apakšpunktā minētās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un 23.2. punkti ir par gadījumiem, kad noteikumu 27.15. apakšpunktā minētās darbības veic pašvaldības iestāde, kas ir sabiedrisko ūdenssaimniecības pakalpojumu sniedzēja (līgums jau ir noslēgts ar pašvaldību) un gadījumiem, kad sabiedrisko ūdenssaimniecības pakalpojumu sniedzējs ir pati pašvaldība. Šajos punktos atrunāti nosacījumi, atbilstoši VTNP lēmumam, jo jau noslēgti līgumi/lēmumi/saistošie noteikumi nevar būt pretrunā VTNP lēmumam. Papildus tam, skaidrojam, ka normas ir iestrādātas 23.1. un 23.2. punktos.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iestāde, kas ir sabiedrisko ūdenssaimniecības pakalpojumu sniedzēja, pašvaldības iestādei ir jāievēro šādus ūdenssaimniecības sabiedrisko pakalpojumu sniegšanas kārtības nosacījumus: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projekta ietvaros paredzētas darbības, kas ietver šo noteikumu </w:t>
            </w:r>
            <w:r w:rsidR="00000000" w:rsidRPr="00000000" w:rsidDel="00000000">
              <w:rPr>
                <w:rtl w:val="0"/>
              </w:rPr>
              <w:t xml:space="preserve">27.15.</w:t>
            </w:r>
            <w:r w:rsidR="00000000" w:rsidRPr="00000000" w:rsidDel="00000000">
              <w:rPr>
                <w:rtl w:val="0"/>
              </w:rPr>
              <w:t xml:space="preserve"> apakšpunktā minētās izmaksas un darbību veic pašvaldības kapitālsabiedrība, noslēdz pakalpojumu līgumu (ja attiecināms) ar pašvaldību par ūdenssaimniecības sabiedrisko pakalpojumu sniegšanu, norādot pakalpojumu līgumā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23.7.</w:t>
            </w:r>
            <w:r w:rsidR="00000000" w:rsidRPr="00000000" w:rsidDel="00000000">
              <w:rPr>
                <w:rtl w:val="0"/>
              </w:rPr>
              <w:t xml:space="preserve"> un </w:t>
            </w:r>
            <w:r w:rsidR="00000000" w:rsidRPr="00000000" w:rsidDel="00000000">
              <w:rPr>
                <w:rtl w:val="0"/>
              </w:rPr>
              <w:t xml:space="preserve">23.8.</w:t>
            </w:r>
            <w:r w:rsidR="00000000" w:rsidRPr="00000000" w:rsidDel="00000000">
              <w:rPr>
                <w:rtl w:val="0"/>
              </w:rPr>
              <w:t xml:space="preserve">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23.</w:t>
            </w:r>
            <w:r w:rsidR="00000000" w:rsidRPr="00000000" w:rsidDel="00000000">
              <w:rPr>
                <w:vertAlign w:val="superscript"/>
                <w:rtl w:val="0"/>
              </w:rPr>
              <w:t xml:space="preserve">1</w:t>
            </w:r>
            <w:r w:rsidR="00000000" w:rsidRPr="00000000" w:rsidDel="00000000">
              <w:rPr>
                <w:rtl w:val="0"/>
              </w:rPr>
              <w:t xml:space="preserve"> punkta lietderību un skaidrot anotācijā, kādos gadījumos tas būtu piemērojams. Ja 27.15. apakšpunktā minētās darbības veiks pašvaldības kapitālsabiedrība, kas ir sabiedrisko ūdenssaimniecības pakalpojumu sniedzējs, tai jau būs noslēgts līgums ar pašvaldību par minēto pakalpojumu sniegšanu. Ja darbības veiks pašvaldības kapitālsabiedrība, kas nav sabiedrisko ūdenssaimniecības pakalpojumu sniedzējs, tad ir piemērojams 23. punkts.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šo noteikumu </w:t>
            </w:r>
            <w:r w:rsidR="00000000" w:rsidRPr="00000000" w:rsidDel="00000000">
              <w:rPr>
                <w:rtl w:val="0"/>
              </w:rPr>
              <w:t xml:space="preserve">27.15.</w:t>
            </w:r>
            <w:r w:rsidR="00000000" w:rsidRPr="00000000" w:rsidDel="00000000">
              <w:rPr>
                <w:rtl w:val="0"/>
              </w:rPr>
              <w:t xml:space="preserve"> apakšpunktā minētās darbības veic pašvaldības kapitālsabiedrība vai pašvaldības iestāde, noslēdz pakalpojumu līgumu (ja attiecināms) ar pašvaldību par ūdenssaimniecības sabiedrisko pakalpojumu sniegšanu, norādot pakalpojumu līgumā šo noteikumu </w:t>
            </w:r>
            <w:r w:rsidR="00000000" w:rsidRPr="00000000" w:rsidDel="00000000">
              <w:rPr>
                <w:rtl w:val="0"/>
              </w:rPr>
              <w:t xml:space="preserve">23.2.</w:t>
            </w:r>
            <w:r w:rsidR="00000000" w:rsidRPr="00000000" w:rsidDel="00000000">
              <w:rPr>
                <w:rtl w:val="0"/>
              </w:rPr>
              <w:t xml:space="preserve">, </w:t>
            </w:r>
            <w:r w:rsidR="00000000" w:rsidRPr="00000000" w:rsidDel="00000000">
              <w:rPr>
                <w:rtl w:val="0"/>
              </w:rPr>
              <w:t xml:space="preserve">23.3.</w:t>
            </w:r>
            <w:r w:rsidR="00000000" w:rsidRPr="00000000" w:rsidDel="00000000">
              <w:rPr>
                <w:rtl w:val="0"/>
              </w:rPr>
              <w:t xml:space="preserve">, </w:t>
            </w:r>
            <w:r w:rsidR="00000000" w:rsidRPr="00000000" w:rsidDel="00000000">
              <w:rPr>
                <w:rtl w:val="0"/>
              </w:rPr>
              <w:t xml:space="preserve">23.4.</w:t>
            </w:r>
            <w:r w:rsidR="00000000" w:rsidRPr="00000000" w:rsidDel="00000000">
              <w:rPr>
                <w:rtl w:val="0"/>
              </w:rPr>
              <w:t xml:space="preserve">, </w:t>
            </w:r>
            <w:r w:rsidR="00000000" w:rsidRPr="00000000" w:rsidDel="00000000">
              <w:rPr>
                <w:rtl w:val="0"/>
              </w:rPr>
              <w:t xml:space="preserve">23.5.</w:t>
            </w:r>
            <w:r w:rsidR="00000000" w:rsidRPr="00000000" w:rsidDel="00000000">
              <w:rPr>
                <w:rtl w:val="0"/>
              </w:rPr>
              <w:t xml:space="preserve">, </w:t>
            </w:r>
            <w:r w:rsidR="00000000" w:rsidRPr="00000000" w:rsidDel="00000000">
              <w:rPr>
                <w:rtl w:val="0"/>
              </w:rPr>
              <w:t xml:space="preserve">23.6.</w:t>
            </w:r>
            <w:r w:rsidR="00000000" w:rsidRPr="00000000" w:rsidDel="00000000">
              <w:rPr>
                <w:rtl w:val="0"/>
              </w:rPr>
              <w:t xml:space="preserve">, </w:t>
            </w:r>
            <w:r w:rsidR="00000000" w:rsidRPr="00000000" w:rsidDel="00000000">
              <w:rPr>
                <w:rtl w:val="0"/>
              </w:rPr>
              <w:t xml:space="preserve">23.7.</w:t>
            </w:r>
            <w:r w:rsidR="00000000" w:rsidRPr="00000000" w:rsidDel="00000000">
              <w:rPr>
                <w:rtl w:val="0"/>
              </w:rPr>
              <w:t xml:space="preserve"> un </w:t>
            </w:r>
            <w:r w:rsidR="00000000" w:rsidRPr="00000000" w:rsidDel="00000000">
              <w:rPr>
                <w:rtl w:val="0"/>
              </w:rPr>
              <w:t xml:space="preserve">23.8.</w:t>
            </w:r>
            <w:r w:rsidR="00000000" w:rsidRPr="00000000" w:rsidDel="00000000">
              <w:rPr>
                <w:rtl w:val="0"/>
              </w:rPr>
              <w:t xml:space="preserve"> apakšpunktā minēto;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būtu viennozīmīgas un korektas atsauces, lūdzam svītrot no punktiem 23.¹ un 23.³ “</w:t>
            </w:r>
            <w:r w:rsidR="00000000" w:rsidRPr="00000000" w:rsidDel="00000000">
              <w:rPr>
                <w:i w:val="1"/>
                <w:rtl w:val="0"/>
              </w:rPr>
              <w:t xml:space="preserve">pašvaldības iestāde</w:t>
            </w:r>
            <w:r w:rsidR="00000000" w:rsidRPr="00000000" w:rsidDel="00000000">
              <w:rPr>
                <w:rtl w:val="0"/>
              </w:rPr>
              <w:t xml:space="preserve">”, jo pašvaldības iestādei noteiktie nosacījumi norādīti 23.² punktā (pašvaldības saistošie noteikumi), savukārt 23.¹ punkts attiecas uz pašvaldību kapitālsabiedrībām (pakalpojumu līgums), un 23.³ punkts attiecas uz pašvaldībām (pašvaldības lēmums).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Gadījumā, ja projekta ietvaros paredzētas darbības, ka ietver šo noteikumu 27.15. apakšpunktā minētās izmaksas un darbību veic pašvaldības kapitālsabiedrība, noslēdz pakalpojumu līgumu (ja attiecināms) ar pašvaldību par ūdenssaimniecības sabiedrisko pakalpojumu sniegšanu, norādot pakalpojumu līgumā šo noteikumu 23.2., 23.3., 23.4., 23.5., 23.6., 23.7. un 23.8. apakšpunktā minēto;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r w:rsidR="00000000" w:rsidRPr="00000000" w:rsidDel="00000000">
              <w:rPr>
                <w:vertAlign w:val="superscript"/>
                <w:rtl w:val="0"/>
              </w:rPr>
              <w:t xml:space="preserve">3 </w:t>
            </w:r>
            <w:r w:rsidR="00000000" w:rsidRPr="00000000" w:rsidDel="00000000">
              <w:rPr>
                <w:rtl w:val="0"/>
              </w:rPr>
              <w:t xml:space="preserve">Gadījumā, ja ūdenssaimniecības sabiedrisko pakalpojumu sniedz pašvaldība, pašvaldība pieņem lēmumu par ūdenssaimniecības sabiedrisko pakalpojumu sniegšanu. Lēmumā norāda: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apliecinājumu, ka uz projekta iesniedzēju neattiecas neviena no </w:t>
            </w:r>
            <w:r w:rsidR="00000000" w:rsidRPr="00000000" w:rsidDel="00000000">
              <w:rPr>
                <w:rtl w:val="0"/>
              </w:rPr>
              <w:t xml:space="preserve">regulas Nr. 651/2014</w:t>
            </w:r>
            <w:r w:rsidR="00000000" w:rsidRPr="00000000" w:rsidDel="00000000">
              <w:rPr>
                <w:rtl w:val="0"/>
              </w:rPr>
              <w:t xml:space="preserve">  2. panta 18. punktā minētajām pazīmēm komercdarbības atbalsta gadījumā. Projekta iesniedzējs tiek vērtēts viena vienota uzņēmuma līmenī, ņemot vērā arī visus ar to saistītus uzņēmumus (ja attiecināms);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Komisijas 2014. gada 17. jūnija Regulas Nr. 651/2014, ar ko noteiktas atbalsta kategorijas atzīst par saderīgām ar iekšējo tirgu, piemērojot Līguma 107. un 108. pantu (turpmāk - Komisijas Regula Nr. 651/2014) 2. panta 18. punkta nosacījumi ir jāvērtē/jāpiemēro uzņēmuma grupas līmenī (Komisijas Regulas Nr. 651/2014 angliskajā versijā nosacījumi, kas ir attiecināmi uz "undertaking", ir jāpārbauda/jāpiemēro uzņēmuma grupas līmenī). Ņemot vērā iepriekš minēto, lūdzam atbilstoši precizēt noteikumu 24.2. apakšpunkta otro teikumu, norādot, ka projekta iesniedzējs tiek vērtēts grupas līmenī, nevis viena vienota uzņēmuma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iepriekš minēto, lūdzam atbilstoši precizēt arī noteikumu 62. punktu, norādot, ka projekta iesniedzējs tiek vērtēts uzņēmuma grupas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grūtībās nonākuša uzņēmuma pazīmes izvērtē uz projekta apstiprināšanas brīdi. Ņemot vērā, ka finansējuma saņēmējs ir projekta iesniedzējs, kuram jau ir apstiprināts projekts un kurš jau ir izvērtēts, kā arī ņemot vērā noteikumu 66. punktu, ka komercdarbības atbalsta piešķiršanas diena ir diena, kad sadarbības iestāde pieņem lēmumu par projekta iesnieguma apstiprināšanu, lūdzam precizēt noteikumu 62. punktu, ka tiek vērtēts projekta iesniedzējs. Lūdzam atbilstoši precizēt arī citus noteikumu punktus, piemēram, 57.2.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priekšlikums ņemts vērā daļēji. 24.2.apakšpunkta redakcija ietver “[…], ņemot vērā arī visus ar to saistītus uzņēmumus (ja attiecināms)”, kas paredz, ka uzņēmums tiek vērtēts ne tikai pats, bet arī visi ar to saistītie uzņēmumi, kas arī veido uzņēmuma grupu. Papildus, uzņēmuma grupas līmenis atrunāts 57.2., 57.3. apakšpunktā. Ņemot vērā minēto, netiek precizēts 62.punkts ar izvērtēšanu uzņēmuma grupas līmenī, jo tas jau ir atrunāts 24.2.apakšpunktā. 24.2., 57.2. un 57.3. apakšpunkts precizēts ar “projekta iesniedzējs”.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24.2. apliecinājumu, ka uz projekta iesniedzēju neattiecas neviena no </w:t>
            </w:r>
            <w:r w:rsidR="00000000" w:rsidRPr="00000000" w:rsidDel="00000000">
              <w:rPr>
                <w:rtl w:val="0"/>
              </w:rPr>
              <w:t xml:space="preserve">regulas Nr. 651/2014</w:t>
            </w:r>
            <w:r w:rsidR="00000000" w:rsidRPr="00000000" w:rsidDel="00000000">
              <w:rPr>
                <w:rtl w:val="0"/>
              </w:rPr>
              <w:t xml:space="preserve">  2. panta 18. punktā minētajām pazīmēm komercdarbības atbalsta gadījumā. Projekta iesniedzējs tiek vērtēts viena vienota uzņēmuma līmenī, ņemot vērā arī visus ar to saistītus uzņēmumus (ja attiecināms);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aizpildītu sadarbības iestādes tīmekļvietnē pieejamo publisko iepirkumu dokumentācijas atbilstības pārbaudes lapu un iepirkuma norises atbilstības pārbaudes lapu (attiecināms uz  pirmās kārtas projektiem un otrās un trešās kārtas projektiem, ja uz projekta iesnieguma iesniegšanas brīdi ir pieņemts lēmums par iepirkuma rezultātiem). Iepirkumu atbilstības pārbaudes lapu iesniegšana neizslēdz veiktā iepirkuma pārbaudi un neatbilstību konstatējumus pēc vienošanās vai līguma par projekta īstenošanu noslēgšanas;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projektu iesniedzējiem mazināšanas nolūkos lūdzam izvērtēt iespēju svītrot MK noteikumu Nr. 726 24.1. apakšpunktu, nenosakot publisko iepirkumu dokumentācijas atbilstības pārbaudes lapu un iepirkuma norises atbilstības pārbaudes lapu iesniegšanu kā obligātu ar projekta iesniegumu iesniedzamu dokumentu.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lai mazinātu administratīvo slogu projektu iesniedzējiem.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aizpildītu sadarbības iestādes tīmekļvietnē pieejamo publisko iepirkumu dokumentācijas atbilstības pārbaudes lapu un iepirkuma norises atbilstības pārbaudes lapu (attiecināms uz  pirmās kārtas projektiem un otrās un trešās kārtas projektiem, ja uz projekta iesnieguma iesniegšanas brīdi ir pieņemts lēmums par iepirkuma rezultātiem). Iepirkumu atbilstības pārbaudes lapu iesniegšana neizslēdz veiktā iepirkuma pārbaudi un neatbilstību konstatējumus pēc vienošanās vai līguma par projekta īstenošanu noslēgšanas;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valsts akciju sabiedrības "Latvijas dzelzceļš" apliecinājumu par paaugstināta perona izbūvi (ja attiecināms), ja projekta ietvaros paredzēta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minēto sabiedriskā transporta savienojumu punktu izbūve;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skaidrot, vai precizējuma veikšana 24.6.apakšpunkta redakcijā neietekmē atlases rezultātus un neradīs nevienlīdzīgu attieksmi pret projektu iesniedzējiem, ņemot vērā, ka projektu iesniegumu kvalitātes vērtēšanas kritērijs Nr. 4.2. nosaka, ka “</w:t>
            </w:r>
            <w:r w:rsidR="00000000" w:rsidRPr="00000000" w:rsidDel="00000000">
              <w:rPr>
                <w:i w:val="1"/>
                <w:rtl w:val="0"/>
              </w:rPr>
              <w:t xml:space="preserve">ja projekta iesnieguma iesniegšanas brīdī plānotā sabiedriskā transporta savienojuma punkta vietā ir pabeigta paaugstināta perona izbūve</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papildināta ar skaidrojumu: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pirmās projektu iesniegumu atlases ietvaros iesniegti projektu iesniegumu par mazāku ERAF finansējumu, nekā projektu iesniegumu atlasē pieejamais finansējums  (neizveidojās projektu iesniegumu konkurss), precizējums Noteikumu 24.6.apakšpunktā neietekmē pirmās projektu iesniegumu atlases rezultātus un nerada nevienlīdzīgu attieksmi pret projektu iesniedzējiem.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valsts akciju sabiedrības "Latvijas dzelzceļš" apliecinājumu par paaugstināta perona izbūvi (ja attiecināms), ja projekta ietvaros paredzēta šo noteikumu </w:t>
            </w:r>
            <w:r w:rsidR="00000000" w:rsidRPr="00000000" w:rsidDel="00000000">
              <w:rPr>
                <w:rtl w:val="0"/>
              </w:rPr>
              <w:t xml:space="preserve">16.1.</w:t>
            </w:r>
            <w:r w:rsidR="00000000" w:rsidRPr="00000000" w:rsidDel="00000000">
              <w:rPr>
                <w:rtl w:val="0"/>
              </w:rPr>
              <w:t xml:space="preserve"> un </w:t>
            </w:r>
            <w:r w:rsidR="00000000" w:rsidRPr="00000000" w:rsidDel="00000000">
              <w:rPr>
                <w:rtl w:val="0"/>
              </w:rPr>
              <w:t xml:space="preserve">16.2.</w:t>
            </w:r>
            <w:r w:rsidR="00000000" w:rsidRPr="00000000" w:rsidDel="00000000">
              <w:rPr>
                <w:rtl w:val="0"/>
              </w:rPr>
              <w:t xml:space="preserve"> apakšpunktā minēto sabiedriskā transporta savienojumu punktu izbūve;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27.15. ūdensapgādes, sadzīves kanalizācijas un notekūdeņu savākšanas un novadīšanas infrastruktūras ierīkošanas izmaksas sabiedriskā transporta savienojumu punktos, ievērojot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w:t>
            </w:r>
            <w:r w:rsidR="00000000" w:rsidRPr="00000000" w:rsidDel="00000000">
              <w:rPr>
                <w:rtl w:val="0"/>
              </w:rPr>
              <w:t xml:space="preserve">23.</w:t>
            </w:r>
            <w:r w:rsidR="00000000" w:rsidRPr="00000000" w:rsidDel="00000000">
              <w:rPr>
                <w:vertAlign w:val="superscript"/>
                <w:rtl w:val="0"/>
              </w:rPr>
              <w:t xml:space="preserve">3</w:t>
            </w:r>
            <w:r w:rsidR="00000000" w:rsidRPr="00000000" w:rsidDel="00000000">
              <w:rPr>
                <w:rtl w:val="0"/>
              </w:rPr>
              <w:t xml:space="preserve"> punkta prasības.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precizēt apakšpunkta redakciju vai pievienot skaidrojumu anotācijā, jo var rasties neskaidrības, vai ar "sadzīves kanalizāciju" domāti sabiedriskā transporta savienojumu punktu ēku iekšējie kanalizācijas tīkli, bet ar "notekūdeņu savākšanas un novadīšanas infrastruktūru" - kanalizācijas ārējie inženiertīkli. Būtībā sadzīves kanalizācija arī ir notekūdeņu savākšanas un novadīšanas infrastruktūra.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27.15. ūdensapgādes, notekūdeņu savākšanas un novadīšanas infrastruktūras ierīkošanas izmaksas sabiedriskā transporta savienojumu punktos, ievērojot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un </w:t>
            </w:r>
            <w:r w:rsidR="00000000" w:rsidRPr="00000000" w:rsidDel="00000000">
              <w:rPr>
                <w:rtl w:val="0"/>
              </w:rPr>
              <w:t xml:space="preserve">23.</w:t>
            </w:r>
            <w:r w:rsidR="00000000" w:rsidRPr="00000000" w:rsidDel="00000000">
              <w:rPr>
                <w:vertAlign w:val="superscript"/>
                <w:rtl w:val="0"/>
              </w:rPr>
              <w:t xml:space="preserve">2</w:t>
            </w:r>
            <w:r w:rsidR="00000000" w:rsidRPr="00000000" w:rsidDel="00000000">
              <w:rPr>
                <w:rtl w:val="0"/>
              </w:rPr>
              <w:t xml:space="preserve"> punkta prasības.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r w:rsidR="00000000" w:rsidRPr="00000000" w:rsidDel="00000000">
              <w:rPr>
                <w:vertAlign w:val="superscript"/>
                <w:rtl w:val="0"/>
              </w:rPr>
              <w:t xml:space="preserve">1</w:t>
            </w:r>
            <w:r w:rsidR="00000000" w:rsidRPr="00000000" w:rsidDel="00000000">
              <w:rPr>
                <w:rtl w:val="0"/>
              </w:rPr>
              <w:t xml:space="preserve"> Projekta iesniedzējs iesniedz sadarbības iestādē VTNP pilnvarojuma uzlicēja apliecinājumu par atlīdzības (kompensācijas) maksājumu kontroli un pārskatīšanu, kā arī minēto maksājumu pārmaksas novēršanu un atgūšanu, ievērojot Eiropas Savienībā noteikto pārbaužu regularitāti, bet ne retāk kā reizi trijos gados un pilnvarojuma akta darbības perioda beigās, vai apliecinājumu par sabiedriskajiem ūdenssaimniecības pakalpojumiem paredzēto kopējo maksājumu kontroli un pārskatīšanu, kā arī atlīdzības (kompensācijas) maksājumu pārmaksas novēršanu un atgūšanu, ievērojot Eiropas Savienībā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turpinās darbs pie administratīvā sloga mazināšanas un vairāk netiks pieprasīts iesniegt sadarbības iestādē VTNP pilnvarojuma uzlicēja apliecinājumu par atlīdzības (kompensācijas) maksājumu kontroli un pārskatīšanu, lūdzu dzēst šo punktu par minētā apliecinājuma iesniegšanu sadarbības iestādē.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Svītrots arī 24.11.apakšpunkts.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projekta ietvaros izbūvētā infrastruktūra ir finansējuma saņēmēja īpašumā vai valdījumā vismaz piecus gadus pēc noslēguma maksājuma dalībvalstij vai komercdarbības atbalsta gadījumā – atbilstoši nosacījumiem, iesniedzot par to apliecinājumu saskaņā ar šo noteikumu </w:t>
            </w:r>
            <w:r w:rsidR="00000000" w:rsidRPr="00000000" w:rsidDel="00000000">
              <w:rPr>
                <w:rtl w:val="0"/>
              </w:rPr>
              <w:t xml:space="preserve">24.8.</w:t>
            </w:r>
            <w:r w:rsidR="00000000" w:rsidRPr="00000000" w:rsidDel="00000000">
              <w:rPr>
                <w:rtl w:val="0"/>
              </w:rPr>
              <w:t xml:space="preserve"> apakšpunktu. Projekta ietvaros izbūvētās publiskās infrastruktūras uzraudzība tiek veikta visā projekta amortizācijas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precizēt MK noteikumu Nr.726 37. punktā noteikto termiņu  projekta ietvaros izbūvētās infrastruktūras īpašuma vai valdījuma tiesībām piecus gadus pēc noslēguma maksājuma veikšanas dalībvalstij atbilstoši Eiropas Parlamenta un Padomes 2021. gada 24. jūnija Regulas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2021/1060) 65.panta nosacījumiem, kas nosaka ilgtspējas nosacījuma termiņu piecus gadus pēc galīgā maksājuma finansējuma saņēmējam.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Svītrots “dalībvalstij”.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nodrošina, ka projekta ietvaros izbūvētā infrastruktūra ir finansējuma saņēmēja īpašumā vai valdījumā vismaz piecus gadus pēc noslēguma maksājuma vai komercdarbības atbalsta gadījumā – atbilstoši nosacījumiem, iesniedzot par to apliecinājumu saskaņā ar šo noteikumu </w:t>
            </w:r>
            <w:r w:rsidR="00000000" w:rsidRPr="00000000" w:rsidDel="00000000">
              <w:rPr>
                <w:rtl w:val="0"/>
              </w:rPr>
              <w:t xml:space="preserve">24.8.</w:t>
            </w:r>
            <w:r w:rsidR="00000000" w:rsidRPr="00000000" w:rsidDel="00000000">
              <w:rPr>
                <w:rtl w:val="0"/>
              </w:rPr>
              <w:t xml:space="preserve"> apakšpunktu. Projekta ietvaros izbūvētās publiskās infrastruktūras uzraudzība tiek veikta visā projekta amortizācijas periodā.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nodrošina interešu konflikta neesību saskaņā ar </w:t>
            </w:r>
            <w:r w:rsidR="00000000" w:rsidRPr="00000000" w:rsidDel="00000000">
              <w:rPr>
                <w:rtl w:val="0"/>
              </w:rPr>
              <w:t xml:space="preserve">2024. gada 23. septembra Eiropas Parlamenta un Padomes Regulas Nr. 2024/2509 par finanšu noteikumiem, ko piemēro Savienības vispārējam budžetam</w:t>
            </w:r>
            <w:r w:rsidR="00000000" w:rsidRPr="00000000" w:rsidDel="00000000">
              <w:rPr>
                <w:rtl w:val="0"/>
              </w:rPr>
              <w:t xml:space="preserve">, 61. panta prasībām, kā arī paraksta interešu konflikta neesības apliecinājumu.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- 19.06.2025.)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noteikumu 40.punkta nepieciešamību, ņemot vērā konkrētā specifiskā atbalsta mērķa projekta veidu, kā arī to, ka  Eiropas Parlamenta un Padomes 2024. gada 23. septembra Regulas (ES, Euratom) 2024/2509 par finanšu noteikumiem, ko piemēro Savienības vispārējam budžetam (pārstrādātā redakcija) 61.panta prasības ir tieši attiecināmas uz tādiem projektiem, kas saistīti ar Eiropas Savienības (ES) fondu atbalsta saņemšanu un vienlaikus kuros atbilstoši specifiskā atbalsta mērķim finansējuma saņēmējs atlases kārtībā ES fondu dalībniekiem vai gala saņēmējiem sniedz finansiālu atbalstu (t.s. daudzpakāpju projekti). Papildus jānorāda, ka saskaņā ar noteikumu noteikumu 41. punktu finansējuma saņēmējam jau ir noteikts pienākums izstrādāt kārtību, kādā tiks nodrošināta interešu konflikta neesība, identificēti apstākļi, kuri izraisa vai var izraisīt interešu konfliktu, kas rada apdraudējumu vai kaitējumu projektu īstenošanai, noteikti veicamie pasākumi un izstrādāti darbības plāni interešu konflikta preventīvai novēršanai un gadījumiem, kad interešu konflikts ir atklāts.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 Finansējuma saņēmējs nodrošina interešu konflikta neesību saskaņā ar </w:t>
            </w:r>
            <w:r w:rsidR="00000000" w:rsidRPr="00000000" w:rsidDel="00000000">
              <w:rPr>
                <w:rtl w:val="0"/>
              </w:rPr>
              <w:t xml:space="preserve">2024. gada 23. septembra Eiropas Parlamenta un Padomes Regulas Nr. 2024/2509 par finanšu noteikumiem, ko piemēro Savienības vispārējam budžetam</w:t>
            </w:r>
            <w:r w:rsidR="00000000" w:rsidRPr="00000000" w:rsidDel="00000000">
              <w:rPr>
                <w:rtl w:val="0"/>
              </w:rPr>
              <w:t xml:space="preserve">, 61. panta prasībām, kā arī paraksta interešu konflikta neesības apliecinājumu.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nodrošina, ka projekta dokumentācija par darbībām, uz kurām nav attiecināmi komercdarbības atbalsta nosacījumi, ir pieejama piecus gadus pēc noslēguma maksājuma veikšanas dalībvalstij;</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nav nepieciešams precizēt MK noteikumu Nr.726 42.8. apakšpunktā noteikto projekta dokumentācijas pieejamības nodrošināšanas termiņu piecus gadus pēc noslēguma maksājuma veikšanas dalībvalstij atbilstoši regulas 2021/1060 82.panta nosacījumiem.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nodrošina, ka projekta dokumentācija par darbībām, uz kurām nav attiecināmi komercdarbības atbalsta nosacījumi, ir pieejama piecus gadus pēc noslēguma maksājuma veikšanas.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42.8. nodrošina, ka projekta dokumentācija par darbībām, uz kurām nav attiecināmi komercdarbības atbalsta nosacījumi, ir pieejama projekta amortizācijas periodā (projekta dzīves ciklā);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iestādei ir tiesības finansējuma saņēmējam pieprasīt papildinošās saimnieciskās darbības un parasto papildpakalpojumu pārskatus projekta dzīves cikla laikā, tai skaitā gadījumos, kad saņemta informācija par papildinošās saimnieciskās darbības un parasto papildpakalpojumu nosacījumu pārkāpumu no finansējuma saņēmēja, kompetentajām iestādēm vai no trešajām personām.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svītros "parastos papildpakalpjumus", jo to uzraudzībai nav noteikts ierobežojums un jo Finansējuma saņēmējs, saskaņā ar 53.punktu, sagatavo pārskatus tikai par papildinošās saimnieciskās darbības uzraudzību.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Sadarbības iestādei ir tiesības finansējuma saņēmējam pieprasīt papildinošās saimnieciskās darbības pārskatus projekta dzīves cikla laikā, tai skaitā gadījumos, kad saņemta informācija par papildinošās saimnieciskās darbības nosacījumu pārkāpumu no finansējuma saņēmēja, kompetentajām iestādēm vai no trešajām personām.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Šo noteikumu </w:t>
            </w:r>
            <w:r w:rsidR="00000000" w:rsidRPr="00000000" w:rsidDel="00000000">
              <w:rPr>
                <w:rtl w:val="0"/>
              </w:rPr>
              <w:t xml:space="preserve">27.1.1.</w:t>
            </w:r>
            <w:r w:rsidR="00000000" w:rsidRPr="00000000" w:rsidDel="00000000">
              <w:rPr>
                <w:rtl w:val="0"/>
              </w:rPr>
              <w:t xml:space="preserve">, </w:t>
            </w:r>
            <w:r w:rsidR="00000000" w:rsidRPr="00000000" w:rsidDel="00000000">
              <w:rPr>
                <w:rtl w:val="0"/>
              </w:rPr>
              <w:t xml:space="preserve">27.1.2.</w:t>
            </w:r>
            <w:r w:rsidR="00000000" w:rsidRPr="00000000" w:rsidDel="00000000">
              <w:rPr>
                <w:rtl w:val="0"/>
              </w:rPr>
              <w:t xml:space="preserve">, </w:t>
            </w:r>
            <w:r w:rsidR="00000000" w:rsidRPr="00000000" w:rsidDel="00000000">
              <w:rPr>
                <w:rtl w:val="0"/>
              </w:rPr>
              <w:t xml:space="preserve">27.1.3.</w:t>
            </w:r>
            <w:r w:rsidR="00000000" w:rsidRPr="00000000" w:rsidDel="00000000">
              <w:rPr>
                <w:rtl w:val="0"/>
              </w:rPr>
              <w:t xml:space="preserve">, </w:t>
            </w:r>
            <w:r w:rsidR="00000000" w:rsidRPr="00000000" w:rsidDel="00000000">
              <w:rPr>
                <w:rtl w:val="0"/>
              </w:rPr>
              <w:t xml:space="preserve">27.1.4.</w:t>
            </w:r>
            <w:r w:rsidR="00000000" w:rsidRPr="00000000" w:rsidDel="00000000">
              <w:rPr>
                <w:rtl w:val="0"/>
              </w:rPr>
              <w:t xml:space="preserve"> un </w:t>
            </w:r>
            <w:r w:rsidR="00000000" w:rsidRPr="00000000" w:rsidDel="00000000">
              <w:rPr>
                <w:rtl w:val="0"/>
              </w:rPr>
              <w:t xml:space="preserve">27.11.</w:t>
            </w:r>
            <w:r w:rsidR="00000000" w:rsidRPr="00000000" w:rsidDel="00000000">
              <w:rPr>
                <w:rtl w:val="0"/>
              </w:rPr>
              <w:t xml:space="preserve"> apakšpunktā minētās izmaksas ir attiecināmas, piemērojot </w:t>
            </w:r>
            <w:r w:rsidR="00000000" w:rsidRPr="00000000" w:rsidDel="00000000">
              <w:rPr>
                <w:i w:val="1"/>
                <w:rtl w:val="0"/>
              </w:rPr>
              <w:t xml:space="preserve">de minimis</w:t>
            </w:r>
            <w:r w:rsidR="00000000" w:rsidRPr="00000000" w:rsidDel="00000000">
              <w:rPr>
                <w:rtl w:val="0"/>
              </w:rPr>
              <w:t xml:space="preserve"> atbalsta nosacījumus, ja tās radušās pirms projekta iesnieguma iesniegšanas vadības informācijas sistēmā šo noteikumu </w:t>
            </w:r>
            <w:r w:rsidR="00000000" w:rsidRPr="00000000" w:rsidDel="00000000">
              <w:rPr>
                <w:rtl w:val="0"/>
              </w:rPr>
              <w:t xml:space="preserve">27.13.</w:t>
            </w:r>
            <w:r w:rsidR="00000000" w:rsidRPr="00000000" w:rsidDel="00000000">
              <w:rPr>
                <w:rtl w:val="0"/>
              </w:rPr>
              <w:t xml:space="preserve"> un </w:t>
            </w:r>
            <w:r w:rsidR="00000000" w:rsidRPr="00000000" w:rsidDel="00000000">
              <w:rPr>
                <w:rtl w:val="0"/>
              </w:rPr>
              <w:t xml:space="preserve">27.15.</w:t>
            </w:r>
            <w:r w:rsidR="00000000" w:rsidRPr="00000000" w:rsidDel="00000000">
              <w:rPr>
                <w:rtl w:val="0"/>
              </w:rPr>
              <w:t xml:space="preserve"> apakšpunktā minēto darbību īstenošanas nodrošināšanai un ir uzsāktas ne agrāk par šo noteikumu </w:t>
            </w:r>
            <w:r w:rsidR="00000000" w:rsidRPr="00000000" w:rsidDel="00000000">
              <w:rPr>
                <w:rtl w:val="0"/>
              </w:rPr>
              <w:t xml:space="preserve">30.</w:t>
            </w:r>
            <w:r w:rsidR="00000000" w:rsidRPr="00000000" w:rsidDel="00000000">
              <w:rPr>
                <w:rtl w:val="0"/>
              </w:rPr>
              <w:t xml:space="preserve"> punktā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Lūgums labot atsauci no 27.15.apakšpunkta uz 27.9.apakšpunktu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Šo noteikumu 27.1.1., 27.1.2., 27.1.3., 27.1.4. un 27.11. apakšpunktā minētās izmaksas ir attiecināmas, piemērojot de minimis atbalsta nosacījumus, ja tās radušās pirms projekta iesnieguma iesniegšanas vadības informācijas sistēmā šo noteikumu 27.13. un 27.9. apakšpunktā minēto darbību īstenošanas nodrošināšanai un ir uzsāktas ne agrāk par šo noteikumu 30. punktā noteikto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 Šo noteikumu </w:t>
            </w:r>
            <w:r w:rsidR="00000000" w:rsidRPr="00000000" w:rsidDel="00000000">
              <w:rPr>
                <w:rtl w:val="0"/>
              </w:rPr>
              <w:t xml:space="preserve">27.1.1.</w:t>
            </w:r>
            <w:r w:rsidR="00000000" w:rsidRPr="00000000" w:rsidDel="00000000">
              <w:rPr>
                <w:rtl w:val="0"/>
              </w:rPr>
              <w:t xml:space="preserve">, </w:t>
            </w:r>
            <w:r w:rsidR="00000000" w:rsidRPr="00000000" w:rsidDel="00000000">
              <w:rPr>
                <w:rtl w:val="0"/>
              </w:rPr>
              <w:t xml:space="preserve">27.1.2.</w:t>
            </w:r>
            <w:r w:rsidR="00000000" w:rsidRPr="00000000" w:rsidDel="00000000">
              <w:rPr>
                <w:rtl w:val="0"/>
              </w:rPr>
              <w:t xml:space="preserve">, </w:t>
            </w:r>
            <w:r w:rsidR="00000000" w:rsidRPr="00000000" w:rsidDel="00000000">
              <w:rPr>
                <w:rtl w:val="0"/>
              </w:rPr>
              <w:t xml:space="preserve">27.1.3.</w:t>
            </w:r>
            <w:r w:rsidR="00000000" w:rsidRPr="00000000" w:rsidDel="00000000">
              <w:rPr>
                <w:rtl w:val="0"/>
              </w:rPr>
              <w:t xml:space="preserve">, </w:t>
            </w:r>
            <w:r w:rsidR="00000000" w:rsidRPr="00000000" w:rsidDel="00000000">
              <w:rPr>
                <w:rtl w:val="0"/>
              </w:rPr>
              <w:t xml:space="preserve">27.1.4.</w:t>
            </w:r>
            <w:r w:rsidR="00000000" w:rsidRPr="00000000" w:rsidDel="00000000">
              <w:rPr>
                <w:rtl w:val="0"/>
              </w:rPr>
              <w:t xml:space="preserve"> un </w:t>
            </w:r>
            <w:r w:rsidR="00000000" w:rsidRPr="00000000" w:rsidDel="00000000">
              <w:rPr>
                <w:rtl w:val="0"/>
              </w:rPr>
              <w:t xml:space="preserve">27.11.</w:t>
            </w:r>
            <w:r w:rsidR="00000000" w:rsidRPr="00000000" w:rsidDel="00000000">
              <w:rPr>
                <w:rtl w:val="0"/>
              </w:rPr>
              <w:t xml:space="preserve"> apakšpunktā minētās izmaksas ir attiecināmas, piemērojot </w:t>
            </w:r>
            <w:r w:rsidR="00000000" w:rsidRPr="00000000" w:rsidDel="00000000">
              <w:rPr>
                <w:i w:val="1"/>
                <w:rtl w:val="0"/>
              </w:rPr>
              <w:t xml:space="preserve">de minimis</w:t>
            </w:r>
            <w:r w:rsidR="00000000" w:rsidRPr="00000000" w:rsidDel="00000000">
              <w:rPr>
                <w:rtl w:val="0"/>
              </w:rPr>
              <w:t xml:space="preserve"> atbalsta nosacījumus, ja tās radušās pirms projekta iesnieguma iesniegšanas vadības informācijas sistēmā šo noteikumu </w:t>
            </w:r>
            <w:r w:rsidR="00000000" w:rsidRPr="00000000" w:rsidDel="00000000">
              <w:rPr>
                <w:rtl w:val="0"/>
              </w:rPr>
              <w:t xml:space="preserve">27.13.</w:t>
            </w:r>
            <w:r w:rsidR="00000000" w:rsidRPr="00000000" w:rsidDel="00000000">
              <w:rPr>
                <w:rtl w:val="0"/>
              </w:rPr>
              <w:t xml:space="preserve"> un </w:t>
            </w:r>
            <w:r w:rsidR="00000000" w:rsidRPr="00000000" w:rsidDel="00000000">
              <w:rPr>
                <w:rtl w:val="0"/>
              </w:rPr>
              <w:t xml:space="preserve">27.9.</w:t>
            </w:r>
            <w:r w:rsidR="00000000" w:rsidRPr="00000000" w:rsidDel="00000000">
              <w:rPr>
                <w:rtl w:val="0"/>
              </w:rPr>
              <w:t xml:space="preserve"> apakšpunktā minēto darbību īstenošanas nodrošināšanai un ir uzsāktas ne agrāk par šo noteikumu </w:t>
            </w:r>
            <w:r w:rsidR="00000000" w:rsidRPr="00000000" w:rsidDel="00000000">
              <w:rPr>
                <w:rtl w:val="0"/>
              </w:rPr>
              <w:t xml:space="preserve">30.</w:t>
            </w:r>
            <w:r w:rsidR="00000000" w:rsidRPr="00000000" w:rsidDel="00000000">
              <w:rPr>
                <w:rtl w:val="0"/>
              </w:rPr>
              <w:t xml:space="preserve"> punktā noteikto termiņu.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1. ja atbalsts attiecas arī uz tām pašām attiecināmajām izmaksām, kas daļēji vai pilnībā pārklājas, – tikai tādā gadījumā, ja šīs kumulācijas rezultātā netiek pārsniegts šajos noteikumos minētās maksimālās atbalsta intensitātes vai atbalsta apmērs, kāds noteikts komercdarbības atbalsta programmā, atbalsta projektā vai Eiropas Komisijas lēmumā, kā arī tiek ievērots maksimālais iespējamais </w:t>
            </w:r>
            <w:r w:rsidR="00000000" w:rsidRPr="00000000" w:rsidDel="00000000">
              <w:rPr>
                <w:i w:val="1"/>
                <w:rtl w:val="0"/>
              </w:rPr>
              <w:t xml:space="preserve">de minimis </w:t>
            </w:r>
            <w:r w:rsidR="00000000" w:rsidRPr="00000000" w:rsidDel="00000000">
              <w:rPr>
                <w:rtl w:val="0"/>
              </w:rPr>
              <w:t xml:space="preserve">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korektu kumulācijas normu piemērošanu, lūdzam 65.</w:t>
            </w:r>
            <w:r w:rsidR="00000000" w:rsidRPr="00000000" w:rsidDel="00000000">
              <w:rPr>
                <w:vertAlign w:val="superscript"/>
                <w:rtl w:val="0"/>
              </w:rPr>
              <w:t xml:space="preserve">1</w:t>
            </w:r>
            <w:r w:rsidR="00000000" w:rsidRPr="00000000" w:rsidDel="00000000">
              <w:rPr>
                <w:rtl w:val="0"/>
              </w:rPr>
              <w:t xml:space="preserve">1.apakšpunktu izteikt šādā redakcijā, piemēru skatīt zemāk:</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atbalsts attiecas arī uz tām pašām attiecināmajām izmaksām, kas daļēji vai pilnībā pārklājas, citas atbalsta programmas vai individuālā atbalsta projekta ietvaros, ja pēc atbalstu apvienošanas atbalsta vienībai vai izmaksu pozīcijai attiecīgā maksimālā atbalsta intensitāte nepārsniedz 100%, kā arī tiek ievērots maksimālais iespējamais de minimis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r w:rsidR="00000000" w:rsidRPr="00000000" w:rsidDel="00000000">
              <w:rPr>
                <w:vertAlign w:val="superscript"/>
                <w:rtl w:val="0"/>
              </w:rPr>
              <w:t xml:space="preserve">1</w:t>
            </w:r>
            <w:r w:rsidR="00000000" w:rsidRPr="00000000" w:rsidDel="00000000">
              <w:rPr>
                <w:rtl w:val="0"/>
              </w:rPr>
              <w:t xml:space="preserve">1. ja atbalsts attiecas arī uz tām pašām attiecināmajām izmaksām, kas daļēji vai pilnībā pārklājas, citas atbalsta programmas vai individuālā atbalsta projekta ietvaros, ja pēc atbalstu apvienošanas atbalsta vienībai vai izmaksu pozīcijai attiecīgā maksimālā atbalsta intensitāte nepārsniedz 100%, kā arī tiek ievērots maksimālais iespējamais </w:t>
            </w:r>
            <w:r w:rsidR="00000000" w:rsidRPr="00000000" w:rsidDel="00000000">
              <w:rPr>
                <w:i w:val="1"/>
                <w:rtl w:val="0"/>
              </w:rPr>
              <w:t xml:space="preserve">de minimis</w:t>
            </w:r>
            <w:r w:rsidR="00000000" w:rsidRPr="00000000" w:rsidDel="00000000">
              <w:rPr>
                <w:rtl w:val="0"/>
              </w:rPr>
              <w:t xml:space="preserve"> apmērs.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Finansējuma saņēmējs, kas ir pašvaldības iestāde vai pašvaldības kapitālsabiedrība, šo noteikumu </w:t>
            </w:r>
            <w:r w:rsidR="00000000" w:rsidRPr="00000000" w:rsidDel="00000000">
              <w:rPr>
                <w:rtl w:val="0"/>
              </w:rPr>
              <w:t xml:space="preserve">27.15.</w:t>
            </w:r>
            <w:r w:rsidR="00000000" w:rsidRPr="00000000" w:rsidDel="00000000">
              <w:rPr>
                <w:rtl w:val="0"/>
              </w:rPr>
              <w:t xml:space="preserve"> apakšpunktā minēto darbību gadījumā nodrošina, ka projekta ietvaros radītās infrastruktūras īpašumtiesības tiek nodotas pašvaldībai šādos gadījumos: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- 28.03.2025.)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noteikumus ar punktu, ka Finansējuma saņēmējs, kas ir pašvaldība, šo noteikumu 27.15. apakšpunktā minēto darbību gadījumā nodrošina, ka projekta ietvaros radītās infrastruktūras īpašumtiesības tiek nodotas VTNP 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69.¹ punkta "</w:t>
            </w:r>
            <w:r w:rsidR="00000000" w:rsidRPr="00000000" w:rsidDel="00000000">
              <w:rPr>
                <w:i w:val="1"/>
                <w:rtl w:val="0"/>
              </w:rPr>
              <w:t xml:space="preserve">pašvaldības iestāde</w:t>
            </w:r>
            <w:r w:rsidR="00000000" w:rsidRPr="00000000" w:rsidDel="00000000">
              <w:rPr>
                <w:rtl w:val="0"/>
              </w:rPr>
              <w:t xml:space="preserve">", jo saskaņā ar 69.¹1. un 69.¹2. apakšpunktiem, minētais punkts attiecas uz pašvaldības kapitālsabiedrībām, kurām ir noslēgts pakalpojumu līgums atbilstoši 23.¹ punktam.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69.1 .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Papildināts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2 </w:t>
            </w:r>
            <w:r w:rsidR="00000000" w:rsidRPr="00000000" w:rsidDel="00000000">
              <w:rPr>
                <w:rtl w:val="0"/>
              </w:rPr>
              <w:t xml:space="preserve">Finansējuma saņēmējs, kas ir pašvaldība, šo noteikumu 27.15. apakšpunktā minēto darbību gadījumā nodrošina, ka projekta ietvaros radītās infrastruktūras īpašumtiesības tiek nodotas VTNP sniedzējam.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 Finansējuma saņēmējs, kas ir pašvaldības kapitālsabiedrība, šo noteikumu </w:t>
            </w:r>
            <w:r w:rsidR="00000000" w:rsidRPr="00000000" w:rsidDel="00000000">
              <w:rPr>
                <w:rtl w:val="0"/>
              </w:rPr>
              <w:t xml:space="preserve">27.15.</w:t>
            </w:r>
            <w:r w:rsidR="00000000" w:rsidRPr="00000000" w:rsidDel="00000000">
              <w:rPr>
                <w:rtl w:val="0"/>
              </w:rPr>
              <w:t xml:space="preserve"> apakšpunktā minēto darbību gadījumā nodrošina, ka projekta ietvaros radītās infrastruktūras īpašumtiesības tiek nodotas pašvaldībai šādos gadījumos: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1. šo noteikumu ​</w:t>
            </w:r>
            <w:r w:rsidR="00000000" w:rsidRPr="00000000" w:rsidDel="00000000">
              <w:rPr>
                <w:rtl w:val="0"/>
              </w:rPr>
              <w:t xml:space="preserve">23.</w:t>
            </w:r>
            <w:r w:rsidR="00000000" w:rsidRPr="00000000" w:rsidDel="00000000">
              <w:rPr>
                <w:vertAlign w:val="superscript"/>
                <w:rtl w:val="0"/>
              </w:rPr>
              <w:t xml:space="preserve">1</w:t>
            </w:r>
            <w:r w:rsidR="00000000" w:rsidRPr="00000000" w:rsidDel="00000000">
              <w:rPr>
                <w:rtl w:val="0"/>
              </w:rPr>
              <w:t xml:space="preserve"> punktā minētais līgums netiek pagarināts vai ar finansējuma saņēmēju netiek noslēgts jauns līgums par ūdensapgādes, sadzīves kanalizācijas un notekūdeņu savākšanas un novadīšanas pakalpojumu 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(KEM - 04.09.2025.)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vārdu "sadzīves kanalizācijas" svītrošanu. Ja ar tiem apzīmēti ēkas iekšējie kanalizācijas tīkli, tad aicinām ņemt vērā, ka parasti līgums par sabiedrisko ūdenssaimniecības pakalpojumu sniegšanu neparedz ēku iekšējo ūdensvadu un kanalizācijas tīklu apsaimniekošanu; par to ir atbildīgs attiecīgās ēkas īpašnieks vai valdītājs.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r w:rsidR="00000000" w:rsidRPr="00000000" w:rsidDel="00000000">
              <w:rPr>
                <w:vertAlign w:val="superscript"/>
                <w:rtl w:val="0"/>
              </w:rPr>
              <w:t xml:space="preserve">1</w:t>
            </w:r>
            <w:r w:rsidR="00000000" w:rsidRPr="00000000" w:rsidDel="00000000">
              <w:rPr>
                <w:rtl w:val="0"/>
              </w:rPr>
              <w:t xml:space="preserve">1. šo noteikumu </w:t>
            </w:r>
            <w:r w:rsidR="00000000" w:rsidRPr="00000000" w:rsidDel="00000000">
              <w:rPr>
                <w:rtl w:val="0"/>
              </w:rPr>
              <w:t xml:space="preserve">23.</w:t>
            </w:r>
            <w:r w:rsidR="00000000" w:rsidRPr="00000000" w:rsidDel="00000000">
              <w:rPr>
                <w:rtl w:val="0"/>
              </w:rPr>
              <w:t xml:space="preserve"> punktā minētais līgums netiek pagarināts vai ar finansējuma saņēmēju netiek noslēgts jauns līgums par ūdensapgādes un notekūdeņu savākšanas un novadīšanas pakalpojumu sniegšanu;</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25-TA-77</w:t>
    </w:r>
    <w:r>
      <w:br/>
    </w:r>
    <w:r w:rsidR="00000000" w:rsidRPr="00000000" w:rsidDel="00000000">
      <w:rPr>
        <w:rtl w:val="0"/>
      </w:rPr>
      <w:t xml:space="preserve">02.10.2025. 21.17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25-TA-77</w:t>
    </w:r>
    <w:r>
      <w:br/>
    </w:r>
    <w:r w:rsidR="00000000" w:rsidRPr="00000000" w:rsidDel="00000000">
      <w:rPr>
        <w:rtl w:val="0"/>
      </w:rPr>
      <w:t xml:space="preserve">02.10.2025. 21.17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Izziņa_25-TA-77.docx</dc:title>
</cp:coreProperties>
</file>

<file path=docProps/custom.xml><?xml version="1.0" encoding="utf-8"?>
<Properties xmlns="http://schemas.openxmlformats.org/officeDocument/2006/custom-properties" xmlns:vt="http://schemas.openxmlformats.org/officeDocument/2006/docPropsVTypes"/>
</file>