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29.06.2026. 17:52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katrā gadījumā, kur izmantota Eiropas Parlamenta un Padomes 2024. gada 24. aprīļa direktīvā (ES) Nr. 2024/1275 par ēku energosniegumu ietvertā rīcības brīvība, norādīt arī, kurā minētās direktīvas vienībā attiecīgā rīcības brīvība paredzēta un apsvērumus rīcības brīvības izmantošanai vai neizmantošanai. Papildus lūdzam izvērtēt un skaidrot, vai ar noteikumu 12.</w:t>
            </w:r>
            <w:r w:rsidR="00000000" w:rsidRPr="00000000" w:rsidDel="00000000">
              <w:rPr>
                <w:vertAlign w:val="superscript"/>
                <w:rtl w:val="0"/>
              </w:rPr>
              <w:t xml:space="preserve">2</w:t>
            </w:r>
            <w:r w:rsidR="00000000" w:rsidRPr="00000000" w:rsidDel="00000000">
              <w:rPr>
                <w:rtl w:val="0"/>
              </w:rPr>
              <w:t xml:space="preserve"> punktu netiek izmantota direktīvas 14. panta 5. punktā ietvertā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norāda, ka Eiropas Parlamenta un Padomes Regula (ES) 2018/858 (2018. gada 30. maijs) par mehānisko transportlīdzekļu un to piekabju, kā arī tādiem transportlīdzekļiem paredzētu sistēmu, sastāvdaļu un atsevišķu tehnisku vienību apstiprināšanu un tirgus uzraudzību un ar ko groza Regulas (EK) Nr. 715/2007 un (EK) Nr. 595/2009 un atceļ Direktīvu 2007/46/EK paredz noteiktus atvieglojumus tādiem autotransporta līdzekļiem, kas ir konstruēti un izgatavoti vai pielāgoti civilās aizsardzības dienestu, ugunsdzēsības dienestu un sabiedriskās kārtības uzturēšanas dienestu vajadzībām. EIROPAS PARLAMENTA UN PADOMES DIREKTĪVA 2009/33/EK (2009. gada 23. aprīlis), par tīru autotransporta līdzekļu izmantošanas veicināšanu mazemisiju mobilitātes atbalstam paredz iepriekš minēto transportlīdzekļu atbrīvošanu no prasības par tīru autotransporta līdzekļu izmantošanas veicināšanu mazemisiju mobilitātes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ekonomiski pamatoti un lietderīgi šo dienestu lietošanā esošajos objektos ierīkot kabeļkanālus vismaz 50 % automašīnu stāvvietām (kas atrodas ēkas iekšienē), jo tas neatbilst dienestu faktiskajām vajadzībām, kā rezultātā izbūvētā infrastruktūra netiks izmantota, vienlaikus radot iestādei nesamērīgus izdevumus saistībā ar šādas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prasa nepiemērot prasību līdz 2033. gada 1. janvārim ierīkot kabeļus vismaz 50 % automašīnu stāvvietu tām stāvvietām, kas paredzētas civilās aizsardzības dienestu, ugunsdzēsības dienestu un sabiedriskās kārtības uzturēšanas dienestu vajadzībām pielāgotam vai konstruētam autotransportam.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nepieciešamību līdz 2033. gada 1. janvārim nedzīvojamā ēkā, kas ir publiskā sektora subjekta valdījumā, ierīkot kabeļus vismaz 50 % automašīnu stāvvietām ietekmē jau šobrīd 12.</w:t>
            </w:r>
            <w:r w:rsidR="00000000" w:rsidRPr="00000000" w:rsidDel="00000000">
              <w:rPr>
                <w:vertAlign w:val="superscript"/>
                <w:rtl w:val="0"/>
              </w:rPr>
              <w:t xml:space="preserve">2</w:t>
            </w:r>
            <w:r w:rsidR="00000000" w:rsidRPr="00000000" w:rsidDel="00000000">
              <w:rPr>
                <w:rtl w:val="0"/>
              </w:rPr>
              <w:t xml:space="preserve">2.1. un 12.</w:t>
            </w:r>
            <w:r w:rsidR="00000000" w:rsidRPr="00000000" w:rsidDel="00000000">
              <w:rPr>
                <w:vertAlign w:val="superscript"/>
                <w:rtl w:val="0"/>
              </w:rPr>
              <w:t xml:space="preserve">2</w:t>
            </w:r>
            <w:r w:rsidR="00000000" w:rsidRPr="00000000" w:rsidDel="00000000">
              <w:rPr>
                <w:rtl w:val="0"/>
              </w:rPr>
              <w:t xml:space="preserve">2.2. apakšpunktos paredzētie izņēmumi, kas neparedz ierīkot elektrotransportlīdzekļu uzlādes punktus vai kabeļkanālus automašīnu stāvvietām pie publiskā sektora subjektu ēkām, kuru tiešā funkcionālā tuvumā (piemēram, viena zemesgabala vai kvartāla ietvaros) atrodas koplietošanas elektrotransportlīdzekļu uzlādes punkts, vai, pie kurām funkcionālu vai drošības apsvērumu dēļ nav atļauta vai ir ierobežota automašīnu novietošana.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attiecīgi papildināt 12.</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Šo noteikumu 12.1. apakšpunktu un 12.</w:t>
            </w:r>
            <w:r w:rsidR="00000000" w:rsidRPr="00000000" w:rsidDel="00000000">
              <w:rPr>
                <w:vertAlign w:val="superscript"/>
                <w:rtl w:val="0"/>
              </w:rPr>
              <w:t xml:space="preserve">1</w:t>
            </w:r>
            <w:r w:rsidR="00000000" w:rsidRPr="00000000" w:rsidDel="00000000">
              <w:rPr>
                <w:rtl w:val="0"/>
              </w:rPr>
              <w:t xml:space="preserve"> punktu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w:t>
            </w:r>
            <w:r w:rsidR="00000000" w:rsidRPr="00000000" w:rsidDel="00000000">
              <w:rPr>
                <w:vertAlign w:val="superscript"/>
                <w:rtl w:val="0"/>
              </w:rPr>
              <w:t xml:space="preserve">2</w:t>
            </w:r>
            <w:r w:rsidR="00000000" w:rsidRPr="00000000" w:rsidDel="00000000">
              <w:rPr>
                <w:rtl w:val="0"/>
              </w:rPr>
              <w:t xml:space="preserve"> punkts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noteiktās prasības par velosipēdu stāvvietu skaitu var koriģēt ar būvspeciālista pamatojumu, to iekļaujot būvniecības ieceres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papildināt noteikumu projektu ar gadījumiem vai apstākļiem, kad attiecīgās prasības ir pieļaujams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piemēru velosipēdu stāvvietu skaita koriģēšanai.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noteiktās prasības par velosipēdu stāvvietu skaitu var koriģēt ar būvspeciālista pamatojumu, to iekļaujot būvniecības ieceres dokumentācijā.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 kurām parasti ar velosipēdu nepiekļūst;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12.</w:t>
            </w:r>
            <w:r w:rsidR="00000000" w:rsidRPr="00000000" w:rsidDel="00000000">
              <w:rPr>
                <w:vertAlign w:val="superscript"/>
                <w:rtl w:val="0"/>
              </w:rPr>
              <w:t xml:space="preserve">4</w:t>
            </w:r>
            <w:r w:rsidR="00000000" w:rsidRPr="00000000" w:rsidDel="00000000">
              <w:rPr>
                <w:rtl w:val="0"/>
              </w:rPr>
              <w:t xml:space="preserve">1. apakšpunktā iekļauto normu ietvert 12.</w:t>
            </w:r>
            <w:r w:rsidR="00000000" w:rsidRPr="00000000" w:rsidDel="00000000">
              <w:rPr>
                <w:vertAlign w:val="superscript"/>
                <w:rtl w:val="0"/>
              </w:rPr>
              <w:t xml:space="preserve">4</w:t>
            </w:r>
            <w:r w:rsidR="00000000" w:rsidRPr="00000000" w:rsidDel="00000000">
              <w:rPr>
                <w:rtl w:val="0"/>
              </w:rPr>
              <w:t xml:space="preserve"> punkta ievaddaļā vai skaidrot noteikumu projekta anotācijā pamatojumu papildu izņēmumu noteikšanai (12.</w:t>
            </w:r>
            <w:r w:rsidR="00000000" w:rsidRPr="00000000" w:rsidDel="00000000">
              <w:rPr>
                <w:vertAlign w:val="superscript"/>
                <w:rtl w:val="0"/>
              </w:rPr>
              <w:t xml:space="preserve">4</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7. apakšpunktā), kas vismaz tiešā tekstā neizriet no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w:t>
            </w:r>
            <w:r w:rsidR="00000000" w:rsidRPr="00000000" w:rsidDel="00000000">
              <w:rPr>
                <w:vertAlign w:val="superscript"/>
                <w:rtl w:val="0"/>
              </w:rPr>
              <w:t xml:space="preserve">4</w:t>
            </w:r>
            <w:r w:rsidR="00000000" w:rsidRPr="00000000" w:rsidDel="00000000">
              <w:rPr>
                <w:rtl w:val="0"/>
              </w:rPr>
              <w:t xml:space="preserve">1. apakšpunktā iekļautā norma ietverta 12.</w:t>
            </w:r>
            <w:r w:rsidR="00000000" w:rsidRPr="00000000" w:rsidDel="00000000">
              <w:rPr>
                <w:vertAlign w:val="superscript"/>
                <w:rtl w:val="0"/>
              </w:rPr>
              <w:t xml:space="preserve">4</w:t>
            </w:r>
            <w:r w:rsidR="00000000" w:rsidRPr="00000000" w:rsidDel="00000000">
              <w:rPr>
                <w:rtl w:val="0"/>
              </w:rPr>
              <w:t xml:space="preserve"> punkta ievaddaļā.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16:15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projektā paredzēto normu īstenošana tiks nodrošināta to izpildē iesaistīto institūciju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Nedzīvojamai ēkai primārās kopējās enerģijas patēriņš no 2030. gada nepārsniedz 550 kWh/(m</w:t>
            </w:r>
            <w:r w:rsidR="00000000" w:rsidRPr="00000000" w:rsidDel="00000000">
              <w:rPr>
                <w:vertAlign w:val="superscript"/>
                <w:rtl w:val="0"/>
              </w:rPr>
              <w:t xml:space="preserve">2</w:t>
            </w:r>
            <w:r w:rsidR="00000000" w:rsidRPr="00000000" w:rsidDel="00000000">
              <w:rPr>
                <w:rtl w:val="0"/>
              </w:rPr>
              <w:t xml:space="preserve">/gadā), no 2033. gada - 470 kWh/(m</w:t>
            </w:r>
            <w:r w:rsidR="00000000" w:rsidRPr="00000000" w:rsidDel="00000000">
              <w:rPr>
                <w:vertAlign w:val="superscript"/>
                <w:rtl w:val="0"/>
              </w:rPr>
              <w:t xml:space="preserve">2</w:t>
            </w:r>
            <w:r w:rsidR="00000000" w:rsidRPr="00000000" w:rsidDel="00000000">
              <w:rPr>
                <w:rtl w:val="0"/>
              </w:rPr>
              <w:t xml:space="preserve">/gadā).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un atkārtoti uzsveram, ka šāds punkts var radīt problēmas peldbaseinu īpašniekiem, jo peldbaseinos kopējais patēriņš var būt arī lielāks rēķinot uz m2. Pat siltinātai peldbaseina ēkai ir lielāks patēriņš rēķinot uz m2. Lūdzam palielināt kopējā patēriņa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kopējā enerģijas patēriņa nedzīvojamām ēkām attiecināšanu tikai uz ēkai nepieciešamajām vispārējām enerģētiskajām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Nedzīvojamai ēkai primārās kopējās enerģijas patēriņš no 2030. gada nepārsniedz 550 kWh/(m</w:t>
            </w:r>
            <w:r w:rsidR="00000000" w:rsidRPr="00000000" w:rsidDel="00000000">
              <w:rPr>
                <w:vertAlign w:val="superscript"/>
                <w:rtl w:val="0"/>
              </w:rPr>
              <w:t xml:space="preserve">2</w:t>
            </w:r>
            <w:r w:rsidR="00000000" w:rsidRPr="00000000" w:rsidDel="00000000">
              <w:rPr>
                <w:rtl w:val="0"/>
              </w:rPr>
              <w:t xml:space="preserve">/gadā), no 2033. gada - 470 kWh/(m</w:t>
            </w:r>
            <w:r w:rsidR="00000000" w:rsidRPr="00000000" w:rsidDel="00000000">
              <w:rPr>
                <w:vertAlign w:val="superscript"/>
                <w:rtl w:val="0"/>
              </w:rPr>
              <w:t xml:space="preserve">2</w:t>
            </w:r>
            <w:r w:rsidR="00000000" w:rsidRPr="00000000" w:rsidDel="00000000">
              <w:rPr>
                <w:rtl w:val="0"/>
              </w:rPr>
              <w:t xml:space="preserve">/gadā).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Apkures, ventilācijas un siltumenerģijas ražošanas iekārtas ir savstarpēji atšķirīgas un funkcionāli neatkarīgas sistēmas, tādēļ prasības to izbūvei, pārbūvei vai nomaiņai būtu nosakāmas atsevišķi, ņemot vērā katras sistēmas tehnisko specifiku. Jo īpaši siltumģeneratora vai apkures sistēmas daļas nomaiņa parasti nav tieši saistāma ar ventilācijas sistēmas parametru vai gaisa apmaiņas (plūsmas ātruma), relatīvā gaisa mitruma vai individuālas mikroklimata kontroles nodrošināšanu katrā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prasību sasaistīšana var radīt situāciju, kurā apkures sistēmas modernizācija faktiski kļūst ekonomiski vai tehniski neīstenojama, jo tā vienlaikus prasītu arī sarežģītas un dārgas ventilācijas sistēmas pārbūves. Tas var būt nesamērīgs slogs ēku īpašniekiem, īpaši gadījumos, kad finansiālās iespējas ir ierobežotas un paredzēta tikai apkures katla vai siltumģeneratora nomaiņa.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noteikt, ka prasības par pašregulējošām ierīcēm gaisa temperatūras, relatīvā mitruma un gaisa plūsmas regulēšanai katrā telpā vai telpu grupā piemērojamas tikai tad, ja tas ir tehniski piemēroti, ekonomiski pamatoti un funkcionāli īstenojami, un tās nav automātiski sasaistāmas ar apkures sistēmas vai siltumģeneratora nomaiņu.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personām, kam ir tiesības lemt par normas īstenošanu vai neīstenošanu, un piemēriem, kad normas īstenošana ir objektīvi neīstenojama.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Apgaismojuma vadības automātikas ieviešana esošajās ēkās bieži nav tehniski vienkārši īstenojama vai ir pat neiespējama bez būtiskas apgaismojuma sistēmas pārbūves. Esošie gaismekļi un elektroinstalācijas risinājumi parasti nav savietojami ar šādām vadības sistēmām, tādēļ to ieviešana var prasīt gaismekļu nomaiņu, elektroinstalācijas pārbūvi un jaunu vadības infrastruktūru, tostarp centralizētas vadības sistēmas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šādas prasības praktiski būtu īstenojamas galvenokārt jaunceltnēs vai pilnas pārbūves gadījumos, nevis esošo ēku atsevišķas atjaunošanas ietvaros. Šādu sistēmu ieviešana var būt finansiāli ietilpīga, kā arī to uzturēšana un apkalpošana var būt apgrūtināta, īpaši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precizēt regulējumu, paredzot apgaismojuma vadības automātikas prasību sasaisti ar apgaismojuma sistēmas atjaunošanu (piemēram, nomaiņu pret LED), kā arī nodrošinot, ka prasības ir tehniski un ekonomiski pamatotas un piemērojamas atbilstoši ēkas tipam un pārbūves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noteikta vispārīgi bez izvērtējuma par izmaksu efektivitāti un reālo enerģijas ietaupījumu dažādos ēku tipos. Lūdzam papildināt ar skaidriem kritērijiem un izmaksu–ieguvumu analīzi. Izziņā norādīts, ka jauno prasību ieviešanas lietderību un finansiālo pamatotību novērtē sertificēts būvspeciālists vai neatkarīgais eksperts. Tomēr šādā termiņā nebūs iespējams apsekot visas valsts, pašvaldības ēkas un noteikt pamatotību, turklāt tas ir maksas pakalpojums, kam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termiņi nav sasaistīti ar ekspertu un finansējuma pieejamību un pašvaldību investīciju plānošanas cikliem. Prasību izpilde lielā mērā ir atkarīga no Eiropas Savienības fondu pieejamības, līdz ar to nepieciešama elastīgāka pieeja vai sasaistes mehānisms ar finansējuma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personām, kam ir tiesības lemt par normas īstenošanu vai neīstenošanu, un piemēriem, kad normas īstenošana ir objektīvi neīstenojama.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un nav pietiekami pamatots regulējuma risinājums, kurā apgaismojuma vadības sistēmu vai gaismekļu nomaiņas prasības tiek sasaistītas ar apkures, dzesēšanas un ventilācijas sistēmu jaudām. Apgaismojuma, apkures un ventilācijas sistēmas ir savstarpēji atsevišķas un funkcionāli neatkarīgas inženiertehniskās sistēmas, tādēļ prasību attiecināšanai būtu jābūt konsekventai un sistēmiski nodalītai (apkure – apkure, apgaismojums – apgaismojums, ventilācija – ventilācija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prasību sasaistes loģika nav skaidra, jo apgaismojuma vadības ierīču vai gaismekļu nomaiņa tehniski nav tieši saistīta ar apkures un ventilācijas sistēmu jaudām, un šīs sistēmas savstarpēji neietekmē viena otras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ēkās noteikto ieviešanas termiņu ievērošana var būt apgrūtināta vai praktiski neiespējama, ņemot vērā ierobežotos finanšu un tehniskos resursus, kā arī iepirkumu un būvniecības procesu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nodrošināt konsekventu un tehniski pamatotu prasību piemērošanu katrai inženiertehniskajai sistēmai atsevišķi, kā arī izvērtēt ieviešanas termiņu reālo izpildāmību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personām, kam ir tiesības lemt par normas īstenošanu vai neīstenošanu, un piemēriem, kad normas īstenošana ir objektīvi neīstenojama.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precizēt, ko regulējuma ietvarā uzskata par “saules enerģijas iekārtām”, jo esošā redakcija ir interpretējama pārāk plaši un var radīt neskaidrības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Noteiktās prasības nav pietiekami izvērtētas no izmaksu efektivitātes un reālā enerģijas ietaupījuma viedokļa dažādos ēku tipos. Lai nodrošinātu pamatotu lēmumu pieņemšanu, tiek ierosināts papildināt regulējumu ar skaidriem kritērijiem un izmaksu–ieguvumu analīzes prasībām. Vienlaikus norādīts, ka esošā pieeja, kur jaunās prasības izvērtē sertificēts būvspeciālists vai neatkarīgais eksperts, praksē var būt grūti īstenojama visām pašvaldību ēkām noteiktajos termiņos, ņemot vērā gan ierobežoto ekspertu pieejamību, gan finansējuma nepieciešamību. Tāpat tiek norādīts, ka ieviešanas termiņi nav pietiekami sasaistīti ar pašvaldību investīciju plānošanas cikliem un finansējuma pieejamību, tostarp Eiropas Savienības fondu ietvaros, tādēļ būtu nepieciešama elastīgāka pieeja vai skaidrs sasaistes mehānisms ar finansējuma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uzturam spēkā iepriekš pausto iebildumus par prasību uzstādīt saules paneļus uz esošo ēku jumtiem, jo tas ne vienmēr ir tehniski pamatoti. Daudzas publiskās ēkas ir projektētas pēc iepriekšējiem normatīviem, kuros paredzētā sniega slodze ir būtiski zemāka nekā faktiskie klimatiskie apstākļi, kas mūsdienās var būt ievērojami augstāki. Tādēļ papildu slodze no saules paneļiem var radīt riskus jumtu nestspējai un ēku ekspluatācijas drošībai. Esošajā elektroenerģijas tirgus situācijā, kad noteiktos periodos jau ir pārpalikums, nav pietiekami skaidrs pamatojums papildu decentralizētas ražošanas jaudu straujai palielināšanai bez attīstītiem uzkrāšanas risinājumiem. Tā vietā tiek būtu nepieciešams attīstīt elektroenerģijas uzkrāšanas tehnoloģijas, piemēram, akumulatoru sistēmas vai hidroakumulācijas risinājumus, kas nodrošinātu efektīvāku saražotās enerģijas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personām, kam ir tiesības lemt par normas īstenošanu vai neīstenošanu, un piemēriem, kad normas īstenošana ir objektīvi neīstenojama.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par "saules enerģijas iekārtām", t.sk. šī termina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ieviešanas pieeja balstīta uz ēku platību, nevis energoefektivitātes prioritātēm. Lūdzam pāriet uz pieeju, kur primāri tiek identificētas neefektīvākās ēkas un investīcijas tiek koncentrētas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pašvaldībās ar ieviestu energopārvaldības sistēmu jau ir noteikti investīciju plāni, kas būtu ņemami vērā, paredzot izņēmumus vai elastību šo prasību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grozījumos ietvert punktu, ka uz pašvaldībām, kurās ir ieviesta energopārvaldības sistēma, šo noteikumu grozījumos ietvertās prasības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iespējami ātrāk sasniegtu valsts noteiktos mērķus, ierosinām visās pašvaldībās veikt visu pašvaldību iestāžu ēku enerģijas patēriņa datu revīziju, nosakot iestāžu ēku vidējo īpatnējo siltumenerģijas (ar laikapstākļu korekciju) un elektroenerģijas patēriņu katrā pašvaldībā. Un uzsvaru uz energoefektivitāti likt tajās teritorijās, kurās tas ir acīmredzami nepieciešams un ir ekonomiski pamatoti.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personām, kam ir tiesības lemt par normas īstenošanu vai neīstenošanu, un piemēriem, kad normas īstenošana ir objektīvi neīstenojama.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prasību par saules enerģijas iekārtu uzstādīšanu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savu iepriekš izteikto iebildumu, norādot uz nepieciešamību salāgot šā projekta prasības un izņēmumus ar tām prasībām un izņēmumiem, kas noteikti Ekonomikas ministrijas virzītajā tiesību aktā 25-TA-1187 - "Grozījumi Ministru kabineta 2021. gada 19. oktobra noteikumos Nr. 693 "Būvju vispārīgo prasību būvnormatīvs LBN 200-21"". Lai nedublētu attiecīgajā tiesību aktā jau noteiktās prasības un izņēmumus attiecībā uz saules enerģijas iekārtu uzstādīšanu, aicinām lietot atsauci uz Ministru kabineta 2021. gada 19. oktobra noteikumiem Nr. 693 "Būvju vispārīgo prasību būvnormatīvs LBN 200-21".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būvspeciālists vai neatkarīgais eksperts ir novērtējis, ka normas īstenošana rada nesamērīgas izmaksas tās ieviešanai, tad novērtējumā ēkas pārvaldniekam/īpašniekam būs norādīts prasību neīstenot. Novērtējumā kompetentā persona var izvēlēties vērtēt arī paredzamā objekta piemērotību esošajai infrastruktūrai, vadoties no jaunām ēkām paredzētajām projektēšanas prasībām, kas noteiktas būvnormatīvos.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prasību par saules enerģijas iekārtu uzstādīšanu nepiemēro: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valdījumā šobrīd atrodas 244 nekustamie īpašumi, t.sk. 565 ēkas. Lai veiktu elektrotransportlīdzekļu uzlādes punktu vai kabeļkanālu ierīkošanu, nepieciešams veikt projektēšanu un būvdarbus, ko nepieciešams iepirkt publiskā iepirkuma procedūrā. Vidēji atklāta konkursa organizēšanai vien nepieciešami 5-6 mēneši, projektēšanas darbiem papildu nepieciešami vēl aptuveni 2 mēneši, projekta saskaņošanai aptuveni mēnesis, bet pašiem būvdarbiem vēl aptuveni 2-2,5 mēneši. Ņemot vērā minēto, tīri objektīvi nav iespējams nodrošināt attiecīgās prasības izpildi līdz 2027.gada 1.janvārim. Turklāt arī finansējums šim pasākumam šā gada budžetā nav paredzēts. Ņemot vērā minēto, noteikt saprātīgu termiņu elektrotransportlīdzekļu uzlādes punktu vai kabeļkanālu ierīkošanai ēkām, kas ir publiskā sektora subjekta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termiņi attiecīgajām prasībām izriet no direktīvas Nr. 2024/1275. Dalībvalstīm nav paredzēta rīcības brīvība mainīt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minētās prasības ieinvalidē prasības, ko nosaka tiesiskajā hierarhijā augstāk stāvoši tiesību akti kā, piemēram, ES regulas. Attiecīgi šajos noteikumos nolikto prasību īstenošanu var atlikt, ja tās ir pretrunā ar kādu no šiem aktiem, piemēram, regulu Nr. 2018/858.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Noteiktais prasību izpildes termiņš līdz 2027. gada 1. janvārim nav reāli sasniedzams, ņemot vērā objektīvus ierobežojošus faktorus, tostarp budžeta plānošanas ciklus, publisko iepirkumu procedūru ilgumu un vispārējo projektu īstenošanas laika grafiku pašvaldībās un citos nedzīvojamo ēku sektoros.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12.1. apakšpunkta prasības attiecībā uz elektroauto uzlādes punktu priekšdarbiem var radīt nesamērīgu finansiālo slogu, īpaši situācijās, kad pastāv risks, ka uzlādes infrastruktūra dažādu apstākļu dēļ netiks pilnībā izbūvēta vai tiks izmantota nepietiekami efektīvi. Šāda pieeja var radīt ieguldījumus ar ierobežotu praktisko atdevi.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uzturam spēkā iepriekš pausto iebildumu par to, ka saskaņā ar Ceļu satiksmes noteikumiem elektrotransportlīdzeklis uzlādes vietā drīkst atrasties tikai uzlādes laikā, kas praksē var samazināt kopējo pieejamo autostāvvietu skaitu teritorijās, kur jau šobrīd ir stāvvietu deficīts. Elektrotransportlīdzekļu uzlādes infrastruktūra Latvijā kopumā jau ir pietiekami attīstīta, un daudzviet tās noslodze ir zema, līdz ar to turpmāka obligāta paplašināšana ne vienmēr ir pamatota. Uzlādes infrastruktūras attīstību būtu lietderīgāk atstāt tirgus dalībnieku kompetencē, tādējādi mazinot slogu pašvaldību budžetiem un nodokļu maksātāju līdzekļiem. Nepieciešamā infrastruktūras izbūve (piemēram, kabeļkanālu ierīkošana) var prasīt esošo segumu pārbūvi, kas var negatīvi ietekmēt infrastruktūras kvalitāti un palielināt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personām, kam ir tiesības lemt par normas īstenošanu vai neīstenošanu, un piemēriem, kad normas īstenošana ir objektīvi neīstenojama.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un atkārtoti norādām, ka gadījumā, ja tiek iekļauts šāds nosacījums, nepieciešams skaidri definēt jēdzienu “standarta velosipēds”. Piemēram, būtu lietderīgi noteikt prasību nodrošināt iespēju velosipēdu pieslēgt pie rāmja, tādējādi novēršot situācijas, kurās velonovietnes paredzētas tikai priekšējā riteņa nostiprināšanai. Savukārt “n” veida veloturētāji ir piemēroti dažādu tipu velosipēdiem, kā arī mopēdiem.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izveidojamo stāvvietu pielāgošanu dažāda veida velosipēdiem.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Līdz 2033. gada 1. janvārim nedzīvojamā ēkā, kas ir publiskā sektora subjekta valdījumā,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un atkārtoti norādām, ka elektrokabeļu uzstādīšana uzskatāma par nelietderīgu risinājumu, jo pastāv augsts to bojāšanas vai zādzības risks, kabeļus izvelkot no gofrētajām aizsargcaurulēm. Turklāt ir ticams, ka sākotnēji izbūvētais kabeļu šķērsgriezums nākotnē neatbildīs faktiskajām jaudas prasībām, līdz ar to, uzstādot elektrotransportlīdzekļu uzlādes iekārtas, kabeļi būs jāmaina. Šādu infrastruktūras izbūvi lietderīgāk būtu atstāt komersantu kompetencē, kuriem uzlādes tīkla attīstība ir saimnieciskās darbības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ir noteikta Direktīvā Nr.2024/1275 un nav saturiski apspriežama.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punkts sasaistīts ar projektā pieļaujamajiem izņēmuma gadījumiem, kas objektīvu iemeslu gadījumā atļauj šo prasību neīstenot.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12.</w:t>
            </w:r>
            <w:r w:rsidR="00000000" w:rsidRPr="00000000" w:rsidDel="00000000">
              <w:rPr>
                <w:vertAlign w:val="superscript"/>
                <w:rtl w:val="0"/>
              </w:rPr>
              <w:t xml:space="preserve">3</w:t>
            </w:r>
            <w:r w:rsidR="00000000" w:rsidRPr="00000000" w:rsidDel="00000000">
              <w:rPr>
                <w:rtl w:val="0"/>
              </w:rPr>
              <w:t xml:space="preserve"> punktā noteiktos izņēmumus, kad var nepiemērot noteikumos noteiktās prasības, papildināt attiecīgā punkta ievaddaļu ar atsauci arī uz projekta 12.</w:t>
            </w:r>
            <w:r w:rsidR="00000000" w:rsidRPr="00000000" w:rsidDel="00000000">
              <w:rPr>
                <w:vertAlign w:val="superscript"/>
                <w:rtl w:val="0"/>
              </w:rPr>
              <w:t xml:space="preserve">2</w:t>
            </w:r>
            <w:r w:rsidR="00000000" w:rsidRPr="00000000" w:rsidDel="00000000">
              <w:rPr>
                <w:rtl w:val="0"/>
              </w:rPr>
              <w:t xml:space="preserve"> punktu, paredzot, ka attiecīgajos gadījumos nepiemēro arī prasību par kabeļu ierīkošanu 50% automašīnu stāvvietām.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Šo noteikumu 12. un 12.</w:t>
            </w:r>
            <w:r w:rsidR="00000000" w:rsidRPr="00000000" w:rsidDel="00000000">
              <w:rPr>
                <w:vertAlign w:val="superscript"/>
                <w:rtl w:val="0"/>
              </w:rPr>
              <w:t xml:space="preserve">2</w:t>
            </w:r>
            <w:r w:rsidR="00000000" w:rsidRPr="00000000" w:rsidDel="00000000">
              <w:rPr>
                <w:rtl w:val="0"/>
              </w:rPr>
              <w:t xml:space="preserve"> punktu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punktu nav nepieciešams papildus iekļaut 12.</w:t>
            </w:r>
            <w:r w:rsidR="00000000" w:rsidRPr="00000000" w:rsidDel="00000000">
              <w:rPr>
                <w:vertAlign w:val="superscript"/>
                <w:rtl w:val="0"/>
              </w:rPr>
              <w:t xml:space="preserve">2</w:t>
            </w:r>
            <w:r w:rsidR="00000000" w:rsidRPr="00000000" w:rsidDel="00000000">
              <w:rPr>
                <w:rtl w:val="0"/>
              </w:rPr>
              <w:t xml:space="preserve"> punkta, kas pats jau ir 12.1. apakšpunkta izņēmuma punkts, ievaddaļā, jo 12.</w:t>
            </w:r>
            <w:r w:rsidR="00000000" w:rsidRPr="00000000" w:rsidDel="00000000">
              <w:rPr>
                <w:vertAlign w:val="superscript"/>
                <w:rtl w:val="0"/>
              </w:rPr>
              <w:t xml:space="preserve">1</w:t>
            </w:r>
            <w:r w:rsidR="00000000" w:rsidRPr="00000000" w:rsidDel="00000000">
              <w:rPr>
                <w:rtl w:val="0"/>
              </w:rPr>
              <w:t xml:space="preserve"> punktā noteiktais izņēmums jau esošajā projekta reakcijā ir vienlaicīgi spēkā ar 12.</w:t>
            </w:r>
            <w:r w:rsidR="00000000" w:rsidRPr="00000000" w:rsidDel="00000000">
              <w:rPr>
                <w:vertAlign w:val="superscript"/>
                <w:rtl w:val="0"/>
              </w:rPr>
              <w:t xml:space="preserve">2</w:t>
            </w:r>
            <w:r w:rsidR="00000000" w:rsidRPr="00000000" w:rsidDel="00000000">
              <w:rPr>
                <w:rtl w:val="0"/>
              </w:rPr>
              <w:t xml:space="preserve"> punktā noteiktajiem izņēmumiem.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12.1.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nepiemēro: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2.1. kuru tiešā funkcionālā tuvumā (piemēram, viena zemesgabala vai kvartāla ietvaros) atrodas koplietošanas elektrotransportlīdzekļu uzlādes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un atkārtoti norādām, ka “Zemesgabala vai kvartāla ietvaros” ir nesaprotams attālums.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attālumu metros vai kilometros. Lauku teritorijās noteikti attālums varētu būt lielāks, jo elektroauto ir mazāk.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saistošajiem terminiem "zemesgabals" un "kvartāls".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2.1. kuru tiešā funkcionālā tuvumā (piemēram, viena zemesgabala vai kvartāla ietvaros) atrodas koplietošanas elektrotransportlīdzekļu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korespondējošajā direktīvas vienībā norādīts uz lietderīgo grīdas platību, nevis kopējo platību, tādēļ lūdzam noteikumu projekta anotācijā sniegt pamatotu skaidrojumu par termina "kopējā platība" (attiecībā uz ēkām), kas skaidrots Ministru kabineta 2021. gada 19. oktobra noteikumu Nr. 693 "Būvju vispārīgo prasību būvnormatīvs LBN 200-21" 16. punktā, atbilstību terminam "lietderīgā grīdas platība".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tiesiskās noteiktības nolūkā terminu "kabeļkanāli" skaidrot noteikumu projektā, nevis tā anotācijā, ņemot vērā, ka noteikumu projekta anotācijā ietvertā informācija nav juridiski saistoša. Alternatīvi aicinām norādīt, kurā nacionālajā normatīvajā aktā minētais termins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kādi dokumenti un/vai to pielikumi ir atbilstoši un izmaksu aspektā samērīgi noteikumu projektā norādīto prasību ieviešanai vai neieviešanai. Pašreizējā noteikumu projekta anotācija nerada skaidrību par to, vai, piemēram, spēkā esošos ēku energosertifikātu pielikumos "pārskats par ekonomiski pamatotiem ēkas norobežojošo konstrukciju un inženiersistēmu energoefektivitāti uzlabojošiem pasākumiem [..]" (atbilstoši Ministru kabineta 2021. gada 8. aprīļa noteikumiem Nr. 222 "Ēku energoefektivitātes aprēķina metodes un ēku energosertifikācijas noteikumi") norādītie ieteikumi ir vai nav pietiekami prasību ieviešanas novērtējuma apliecinājumam, t. i., tajos tradicionāli netiek norādīti risinājumi, kurus neieviest, bet gan risinājumi, kurus būtu potenciāli ekonomiski pamatoti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personām, kam ir tiesības lemt par normas īstenošanu vai neīstenošanu, un piemēriem, kad normas īstenošana ir objektīvi neīstenojama.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"Jaunie punkti neizriet no direktīvas normām, bet gan no Eiropas Komisijas saskaņotajiem aktiem attiecībā uz pieļaujamajām atkāpēm un risinājumiem, ja pārņemamā norma rada nesamērīgu slogu (galvenokārt, finansiālu) tās ieviesējam. Dokumenti ir pieejami CIRABC, bet tie nav pieejami publiskai apskatei". Saistībā ar minēto lūdzam attiecīgo informāciju sniegt noteikumu projekta anotācijas 5. sadaļā ailītē "Cita informācija", tostarp, ja iespējams, norādot arī konkrēto saskaņoto aktu datumus un numurus, kā arī skaidrot Eiropas Komisijas pamatojumu no direktīvas normām neizrietošu izņēmumu noteikšanai vai norādīt direktīvas normas, no kurām izņēmumi izriet. Vēršam uzmanību, ka attiecīgajā direktīvā minēti konkrēti izņēmumi tostarp saistībā ar samērīguma principu no vairāku normu piemērošanas, tādēļ ir apšaubāmas Eiropas Komisijas pilnvaras paredzēt papildu izņēmumus, ja tie neizriet no direktīvas. Skaidrojam, ka līdz šim Eiropas Savienības Tiesa (spriedumā lietā C-372/00 Komisija pret Īriju ([2001] ECR I-10303, 13.pkt.) un lietā 420/85 Komisija pret Itāliju ([1987] ECR 2983, 5.pkt.)), kurai vienīgajai ir tiesības atbrīvot Eiropas Savienības dalībvalsti no pienākuma pārņemt direktīvu, atzinusi, ka atkāpes no direktīvas transponēšanas pienākuma pieļaujama vienīgi ģeogrāfisku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minēts, ka: "Pārņemtajām normām kopējā regulējumā jau ir noteikta uzraudzība un sankcijas par normu neīstenošanu. Ar šo projektu minētā Direktīvas prasība tiek sasaistīta ar esošo regulējumu (Ēku energoefektivitātes likuma 7.panta pirmo daļu) par nosacījumiem ēku nodošanai ekspluatācijā, kas savukārt ir sasaistīts ar Būvniecības likuma 31.pantu par administratīvo atbildību par tehnisko noteikumu, atļauju, saskaņojumu vai atteikumu neizdošanu normatīvajos aktos noteiktajos termiņos vai noteiktajā veidā." Saistībā ar minēto, ievērojot, ka attiecīgās direktīvas 9. panta 7. punkts pārņemts arī ar minētajām likuma normām, lūdzam atbilstoši papildināt anotācijā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sankciju daļas piemērošanai un izņēmumu saskaņošanu ar EK ekspertu darba grupu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anotācijā skaidrot, kā pārņemtas pārējās direktīvas normas, jo īpaši 10. panta 1., 2. punkts, 3. punkta "a", "c", "d" un "e" apakšpunkts, 4. punkta pirmā un otrā daļa un 5. punkts, 13. panta 3., 4., 6., 7., 9., 10. punkts un 12. punkta otrā daļa, 14. panta 1., 4., 6.-9. punkts tiks pārņemts Ministru kabineta 2021. gada 19. oktobra noteikumos Nr. 693 "Būvju vispārīgo prasību būvnormatīvs LBN 200-21". Kā arī atkārtoti lūdzam anotācijā detalizētāk atspoguļot minētās direktīvas 9. panta 1. punkta un 13. panta 1. punkta katras daļas pārņemšanu, nepieciešamības gadījumā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atbilstības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daļas iedaļa "Cita informācija"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attiecīgās direktīvas 9. panta 1. punkta trešajā, ceturtajā un astotajā daļā, 6. punktā, 13. panta 1. punkta trešajā daļā, 2. punktā, 5. punkta otrajā teikumā, kā arī 14. panta 4. punkta ceturtajā daļā ietvertās rīcības brīvības izmantošanu vai neizmantošanu, tostarp, ja attiecināms, norādot uz Nacionālā ēku renovācijas plānu 2030. gadam vai normatīvajiem aktiem aktiem, ar kuriem konkrēti minētā rīcības brīvība ir izmantota. Turklāt norādām, ka pirmšķietami pretēji izziņā minētajam vairākos gadījumos rīcības brīvība ir tieši attiecināma uz noteikumu projektā ietverto regulējumu (sk., piem., 9. panta 1. punkta trešajā, ceturtajā un astotajā daļā paredzēto rīcības brīvību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daļas iedaļa "Cita informācija"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likumprojekta versija padara likumdošanas prasības attiecībā uz ekspluatējamām ēkām sarežģītākas. Un vienlaikus nerisina esošās ēku problēmas, palīdzot ēku īpašniekiem pieņemt lēmumus par nepieciešamajiem uzlabojumiem ēkās un ēku sistēmās. Ņemot vērā, likumprojekta pretrunīgo raksturu netiks sasniegti tā sagatavotāju uzstādītie mērķis ES direktīvas prasības pārņemšanas Latvijas Republikas normatīvajos tiesību aktos un ēku energoefektivitātes paaugstināšana, izmaksu samazināšana un ēku sektora uzlabošana, to vērtības saglabāšana un paaugstināšana.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papildināta ar norādi par paralēli pārņemamajām Direktīvas Nr. 2024/1275 prasībām citos normatīvajos aktos un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Ēkas automatizācijas un vadības sistēma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 papildu grozījumu, precizējot Ministru kabineta 2020. gada 10. decembra noteikumu Nr. 730 “Ekspluatējamu ēku energoefektivitātes minimālās prasības” 11. punktā lietoto terminu “ēkas automatizācijas un vadības sistēmu”, koriģējot uz “ēkas vadības un automatizācijas sistēmu”, lai nodrošinātu konsekventu terminu pielietojumu Latvijas Republikas normatīvajos aktos (izrietoši no Ministru kabineta 2018. gada 28. augusta noteikumiem Nr. 545 “Noteikumi par Latvijas būvnormatīvu LBN 202-18 “Būvniecības ieceres dokumentācijas noformēšana””).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terminu savstarpējo aizvietošanu.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Ēkas automatizācijas un vadības sistēma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norādīt, kuru 12. punkta apakšpunktu nepiemēro, ņemot vērā, ka pirmšķietami attiecīgais izņēmums nav attiecināms uz 12.2.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iekšējā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12.1.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nepiemēro: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noteiktās prasības par velosipēdu stāvvietu skaitu var koriģēt ar būvspeciālista pamatojumu, to iekļaujot būvniecības ieceres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tiesiskās noteiktības nolūkā apvienot šo noteikumu 12.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un 12.</w:t>
            </w:r>
            <w:r w:rsidR="00000000" w:rsidRPr="00000000" w:rsidDel="00000000">
              <w:rPr>
                <w:vertAlign w:val="superscript"/>
                <w:rtl w:val="0"/>
              </w:rPr>
              <w:t xml:space="preserve">5</w:t>
            </w:r>
            <w:r w:rsidR="00000000" w:rsidRPr="00000000" w:rsidDel="00000000">
              <w:rPr>
                <w:rtl w:val="0"/>
              </w:rPr>
              <w:t xml:space="preserve"> punktus vai citādi savstarpēji sasaistīt (piemēram, ar iekšējām atsaucēm) minētos punktus, kā arī nodrošināt vienveidīgu to izteiksmi, proti, vai nepiemēro prasības par velosipēdu stāvvietu skaitu vai prasības par velosipēdu stāvvietu ierīkošanu. Izziņā norādīts, ka visi minētie punkti attiecas uz 12.2. apakšpunktu, jo paredz saistības nedzīvojamām ēkām kopumā, ne tikai publiskām, tomēr vēršam uzmanību, ka izziņā minētais nemaina to, ka no visiem minētajiem punktiem un anotācijas neizriet, vai šie punkti katrs atsevišķi ir pamats attiecīgo prasību nepiemērošanai, proti, vai 12.</w:t>
            </w:r>
            <w:r w:rsidR="00000000" w:rsidRPr="00000000" w:rsidDel="00000000">
              <w:rPr>
                <w:vertAlign w:val="superscript"/>
                <w:rtl w:val="0"/>
              </w:rPr>
              <w:t xml:space="preserve">5</w:t>
            </w:r>
            <w:r w:rsidR="00000000" w:rsidRPr="00000000" w:rsidDel="00000000">
              <w:rPr>
                <w:rtl w:val="0"/>
              </w:rPr>
              <w:t xml:space="preserve"> punktā konkretizēts 12.</w:t>
            </w:r>
            <w:r w:rsidR="00000000" w:rsidRPr="00000000" w:rsidDel="00000000">
              <w:rPr>
                <w:vertAlign w:val="superscript"/>
                <w:rtl w:val="0"/>
              </w:rPr>
              <w:t xml:space="preserve">1</w:t>
            </w:r>
            <w:r w:rsidR="00000000" w:rsidRPr="00000000" w:rsidDel="00000000">
              <w:rPr>
                <w:rtl w:val="0"/>
              </w:rPr>
              <w:t xml:space="preserve"> punktā ietvertais regulējums, kā arī, vai 12.</w:t>
            </w:r>
            <w:r w:rsidR="00000000" w:rsidRPr="00000000" w:rsidDel="00000000">
              <w:rPr>
                <w:vertAlign w:val="superscript"/>
                <w:rtl w:val="0"/>
              </w:rPr>
              <w:t xml:space="preserve">4</w:t>
            </w:r>
            <w:r w:rsidR="00000000" w:rsidRPr="00000000" w:rsidDel="00000000">
              <w:rPr>
                <w:rtl w:val="0"/>
              </w:rPr>
              <w:t xml:space="preserve"> punkts piemērojams patstāvīgi un attiecināms vienīgi uz velosipēdu stāvvietu skaitu vai arī piemērojams vienīgi kopsakarā ar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5</w:t>
            </w:r>
            <w:r w:rsidR="00000000" w:rsidRPr="00000000" w:rsidDel="00000000">
              <w:rPr>
                <w:rtl w:val="0"/>
              </w:rPr>
              <w:t xml:space="preserve"> punktu, paredzot pienākumu pamatot atkāpes no šo noteikumu 12.2. apakšpunktā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punkts iekļauts tagadējā 12.</w:t>
            </w:r>
            <w:r w:rsidR="00000000" w:rsidRPr="00000000" w:rsidDel="00000000">
              <w:rPr>
                <w:vertAlign w:val="superscript"/>
                <w:rtl w:val="0"/>
              </w:rPr>
              <w:t xml:space="preserve">4</w:t>
            </w:r>
            <w:r w:rsidR="00000000" w:rsidRPr="00000000" w:rsidDel="00000000">
              <w:rPr>
                <w:rtl w:val="0"/>
              </w:rPr>
              <w:t xml:space="preserve"> punktā kā tā 12.</w:t>
            </w:r>
            <w:r w:rsidR="00000000" w:rsidRPr="00000000" w:rsidDel="00000000">
              <w:rPr>
                <w:vertAlign w:val="superscript"/>
                <w:rtl w:val="0"/>
              </w:rPr>
              <w:t xml:space="preserve">4</w:t>
            </w:r>
            <w:r w:rsidR="00000000" w:rsidRPr="00000000" w:rsidDel="00000000">
              <w:rPr>
                <w:rtl w:val="0"/>
              </w:rPr>
              <w:t xml:space="preserve"> 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Tagadējam 12.</w:t>
            </w:r>
            <w:r w:rsidR="00000000" w:rsidRPr="00000000" w:rsidDel="00000000">
              <w:rPr>
                <w:vertAlign w:val="superscript"/>
                <w:rtl w:val="0"/>
              </w:rPr>
              <w:t xml:space="preserve">3</w:t>
            </w:r>
            <w:r w:rsidR="00000000" w:rsidRPr="00000000" w:rsidDel="00000000">
              <w:rPr>
                <w:rtl w:val="0"/>
              </w:rPr>
              <w:t xml:space="preserve"> punktam piemērošana nav obligāta ("var koriģēt", nevis "koriģē"), kamdēļ tā ir norādīta atsevišķi no 12.</w:t>
            </w:r>
            <w:r w:rsidR="00000000" w:rsidRPr="00000000" w:rsidDel="00000000">
              <w:rPr>
                <w:vertAlign w:val="superscript"/>
                <w:rtl w:val="0"/>
              </w:rPr>
              <w:t xml:space="preserve">4</w:t>
            </w:r>
            <w:r w:rsidR="00000000" w:rsidRPr="00000000" w:rsidDel="00000000">
              <w:rPr>
                <w:rtl w:val="0"/>
              </w:rPr>
              <w:t xml:space="preserve"> punktā noteiktajiem izņēmumiem.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noteiktās prasības par velosipēdu stāvvietu skaitu var koriģēt ar būvspeciālista pamatojumu, to iekļaujot būvniecības ieceres dokumentācijā.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22.05.2026. 17:21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5.4.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anotācijas 5.4. apakšsadaļas 1. tabulā pamatojot, no kurām konkrēti Eiropas Parlamenta un Padomes 2024. gada 24. aprīļa Direktīvas (ES) 2024/1275 par ēku energosniegumu (turpmāk - direktīva) vienībām izriet noteikumu projekta 1.8., 1.14.-1.18. apakšpunktā minētie 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skaidrojot, kā direktīvas 9. panta 7. punkts pārņemts grozīto noteikumu 2. un 2.</w:t>
            </w:r>
            <w:r w:rsidR="00000000" w:rsidRPr="00000000" w:rsidDel="00000000">
              <w:rPr>
                <w:vertAlign w:val="superscript"/>
                <w:rtl w:val="0"/>
              </w:rPr>
              <w:t xml:space="preserve">1</w:t>
            </w:r>
            <w:r w:rsidR="00000000" w:rsidRPr="00000000" w:rsidDel="00000000">
              <w:rPr>
                <w:rtl w:val="0"/>
              </w:rPr>
              <w:t xml:space="preserve"> punktā, ņemot vērā, ka konkrētā direktīvas norma attiecas uz uzraudzības un sankcijas pasākumiem, kas no abiem minētajiem punktiem neizriet;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izziņas 6. punktā minēto iebildumu, sniedzot 1. tabulā informāciju par pārējo direktīvas prasību pārņemšanu, nepieciešamības gadījumā norādot izziņas skaidrojumā minēto, proti, ka konkrētās normas tiks pārņemtas Ministru kabineta 2021. gada 19. oktobra noteikumos Nr. 693 "Būvju vispārīgo prasību būvnormatīvs LBN 200-21", kā arī šajā un citos gadījumos norādot termiņu, līdz kuram konkrētās normas tiks pārņemtas, un atbildīgo institūciju par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papildinot minēto tabulu un sniedzot skaidrojumu arī par direktīvas 9. panta 1. punkta trešajā daļā, 6. punktā, 13. panta 1. punkta trešajā daļā, 5. punkta otrajā teikumā kā arī 14. panta 4. punkta ceturtajā daļā ietvertās rīcības brīvības izmantošanu vai neizmantošanu noteikumu projektā. Kā arī skaidrojot rīcības brīvību, lūdzam norādīt arī precīzu direktīvas normas, kas to paredz, kā arī pamatojumu rīcības brīvības izmantošanai vai neizmantošanai. Papildus lūdzam arī precizēt informāciju par rīcības brīvības izmantošanu noteikumu projekta 5. un 19. punktā, jo noteikumu projektā nav atrodamas minētās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Jaunie punkti neizriet no direktīvas normām, bet gan no Eiropas Komisijas saskaņotajiem aktiem attiecībā uz pieļaujamajām atkāpēm un risinājumiem, ja pārņemamā norma rada nesamērīgu slogu (galvenokārt, finansiālu) tās ieviesējam. Dokumenti ir pieejami CIRABC, bet tie nav pieejami publiskai apskatei;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Pārņemtajām normām kopējā regulējumā jau ir noteikta uzraudzība un sankcijas par normu neīstenošanu. Ar šo projektu minētā Direktīvas prasība tiek sasaistīta ar esošo regulējumu (Ēku energoefektivitātes likuma 7.panta pirmo daļu) par nosacījumiem ēku nodošanai ekspluatācijā, kas savukārt ir sasaistīts ar Būvniecības likuma 31.pantu par administratīvo atbildību par tehnisko noteikumu, atļauju, saskaņojumu vai atteikumu neizdošanu normatīvajos aktos noteiktajos termiņos vai noteiktajā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anotācijas 1.tabula;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Minētās rīcības brīvības ar noteikumu projektu ir saistītas pastarpināti - tās ir izmantotas noteikumu projektam saistošo vērtību noteikšanā Nacionālā ēku renovācijas plāna 2030.gadam izstrādes ietvaros, vai lietotas citu normatīvo aktu būvnormatīvu jomā izstrādē, piemēram,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Nedzīvojamai ēkai primārās kopējās enerģijas patēriņš no 2030. gada nepārsniedz 550 kWh/(m</w:t>
            </w:r>
            <w:r w:rsidR="00000000" w:rsidRPr="00000000" w:rsidDel="00000000">
              <w:rPr>
                <w:vertAlign w:val="superscript"/>
                <w:rtl w:val="0"/>
              </w:rPr>
              <w:t xml:space="preserve">2</w:t>
            </w:r>
            <w:r w:rsidR="00000000" w:rsidRPr="00000000" w:rsidDel="00000000">
              <w:rPr>
                <w:rtl w:val="0"/>
              </w:rPr>
              <w:t xml:space="preserve">/gadā), no 2033. gada - 470 kWh/(m</w:t>
            </w:r>
            <w:r w:rsidR="00000000" w:rsidRPr="00000000" w:rsidDel="00000000">
              <w:rPr>
                <w:vertAlign w:val="superscript"/>
                <w:rtl w:val="0"/>
              </w:rPr>
              <w:t xml:space="preserve">2</w:t>
            </w:r>
            <w:r w:rsidR="00000000" w:rsidRPr="00000000" w:rsidDel="00000000">
              <w:rPr>
                <w:rtl w:val="0"/>
              </w:rPr>
              <w:t xml:space="preserve">/gadā).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var radīt problēmas peldbaseinu īpašniekiem, jo peldbaseinos kopējais patēriņš var būt arī lielāks rēķinot uz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siltinātai peldbaseina ēkai ir lielāks patēriņš rēķinot uz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kopējā patēriņa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ka pieļaujamās primārās kopējās enerģijas patēriņa vērtības nedzīvojamām ēkām ir noteiktas balstoties uz šādām ēkām nepieciešamajām vispārējām enerģētiskajām vajadzībām (apgaismojums, ventilācija, iekštelpu temperatūras regulācija, klimata kontroles sistēma). Peldbaseina ūdens uzsildīšana un temperatūras uzturēšana ir ārpus vispārējām enerģētiskajām vajadzībām - attiecīgi šīm darbībām nepieciešamo enerģiju neiekļauj patērētās atļautās enerģijas aprēķinā.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Nedzīvojamai ēkai primārās kopējās enerģijas patēriņš no 2030. gada nepārsniedz 550 kWh/(m</w:t>
            </w:r>
            <w:r w:rsidR="00000000" w:rsidRPr="00000000" w:rsidDel="00000000">
              <w:rPr>
                <w:vertAlign w:val="superscript"/>
                <w:rtl w:val="0"/>
              </w:rPr>
              <w:t xml:space="preserve">2</w:t>
            </w:r>
            <w:r w:rsidR="00000000" w:rsidRPr="00000000" w:rsidDel="00000000">
              <w:rPr>
                <w:rtl w:val="0"/>
              </w:rPr>
              <w:t xml:space="preserve">/gadā), no 2033. gada - 470 kWh/(m</w:t>
            </w:r>
            <w:r w:rsidR="00000000" w:rsidRPr="00000000" w:rsidDel="00000000">
              <w:rPr>
                <w:vertAlign w:val="superscript"/>
                <w:rtl w:val="0"/>
              </w:rPr>
              <w:t xml:space="preserve">2</w:t>
            </w:r>
            <w:r w:rsidR="00000000" w:rsidRPr="00000000" w:rsidDel="00000000">
              <w:rPr>
                <w:rtl w:val="0"/>
              </w:rPr>
              <w:t xml:space="preserve">/gadā).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13. panta 1. un 5. punkts paredz atšķirīgas prasības, proti, noteiktas sistēmas prasības un prasība, lai nedzīvojamās bezemisiju ēkas būtu aprīkotas ar iekštelpu gaisa kvalitātes monitoringam un regulēšanai domātām mērierīcēm un vadības ierīcēm, tomēr noteikumu projekta 9. punktā pretēji anotācijas 5.4. apakšsadaļas 1. tabulā ietvertajai informācijai pirmšķietami nav atrodams regulējums par sistēmas prasībām, tādēļ lūdzam izvērtēt un pilnveidot minētajā tabulā norādīto, detalizētāk atspoguļojot 13. panta 1. punkta katras daļas pārņemšanu, nepieciešamības gadījumā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ir noteiktas galvenās ēkas automatizācijas un vadības sistēmas prasības (ierīces gaisa temperatūras, relatīvā gaisa mitruma un gaisa apmaiņas (cirkulācijas) plūsmas ātruma atsevišķai regulēšanai katrā telpā) šādu sistēmu izveidošanai ēkā, proti, minimālo iekārtu kopumu, lai to varētu klasificēt kā ēkas automatizācijas un vadības sistēmu. Prasības par optimālo iekštelpu vidi (gaisa temperatūra, gaisa mitrums un gaisa apmaiņas plūsmas ātrums) nosaka ar darba drošību un cilvēka veselību saistītie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tabulā pie direktīvas 13. panta 5. punkta pielikta papildu piezīme par noteikumu 11.4.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nav loģisks gadījumā, ja tiek mainīta apkures sistēma (apkures katls), kas ražo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tiek prasīts aprīkot ēku ar pašregulējošām ierīcēm gaisa temperatūras, relatīvā gaisa mitruma un gaisa apmaiņas (cirkulācijas) plūsmas ātruma atsevišķai regulēšanai katrā telpā. Kāda ir maināmās apkures sistēmas kopsakarība ar gaisa apmaiņas (cirkulācijas) plūsmas ātruma atsevišķai regulēšanai katrā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ēkas īpašnieka finansiālās iespējas ir ierobežotas un pietiek tikai apkures katla nomaiņai, ir apšaubāma iespēja nodrošināt papildu investīcijas ventilācijas sistēmas izbūvē ar gaisa mitrināšanas un individuālas mikroklimata kontroles funkcionalitāti katrā telpā. Šāds punkts novedīs pie tā, ka apkures sistēma mainīta netiks, jo uzreiz ir jāizbūvē arī komplicēta ventilācijas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noteikts, ka nedzīvojamas ēkas aprīko ar pašregulējošām ierīcēm gaisa temperatūras atsevišķai regulēšanai katrā telpā vai telpu grupā, ja tiek mainīta ēkas apkures sistēmas daļa, kas ražo siltumenerģiju (siltumģenerators), ja tas ir tehniski piemēroti, ekonomiski un funkcionāli īstenojami.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neatkarīgs eksperts veicot energosertificēšanu vai būvspeciālists ir novērtējis, ka normas īstenošana rada nesamērīgas izmaksas tās ieviešanai, tad novērtējumā ēkas pārvaldniekam/īpašniekam būs norādīts prasību neīstenot.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apgaismojuma vadības sistēmas nebūs pielāgojamas esošajiem gaismekļiem un tīkla uzbūvei. Lai ko tādu realizētu, ir jāmaina gaismekļi pret tādiem, kas atbalsta kādu no vadības sistēmām un jāpārvelk kabeļi, lai sistēmu vadītu no viena centrālā vadības paneļa. To var realizēt jaunbūves vai pilnas pārbūves gadījumā. Sistēma ir dārga un problēmu gadījumā nav kas to apkalpo lauku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neatkarīgs eksperts veicot energosertificēšanu vai būvspeciālists ir novērtējis, ka normas īstenošana rada nesamērīgas izmaksas tās ieviešanai, tad novērtējumā ēkas pārvaldniekam/īpašniekam būs norādīts prasību neīstenot.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noteikta vispārīgi, bez izvērtējuma par izmaksu efektivitāti un reālo enerģijas ietaupījumu dažādos ēku tipos. Lūdzam papildināt ar skaidriem kritērijiem un izmaksu – ieguvumu analīzi. Izziņā norādīts, ka jauno prasību ieviešanas lietderību un finansiālo pamatotību novērtē sertificēts būvspeciālists vai neatkarīgais eksperts. Tomēr šādā termiņā nebūs iespējams apsekot visas valsts pašvaldības ēkas un noteikt pamatotību, turklāt tas ir maksas pakalpojums, kam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termiņi nav sasaistīti ar ekspertu un finansējuma pieejamību un pašvaldību investīciju plānošanas cikliem. Prasību izpilde lielā mērā ir atkarīga no Eiropas Savienības fondu pieejamības, līdz ar to nepieciešama elastīgāka pieeja vai sasaistes mehānisms ar finansējuma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neatkarīgs eksperts veicot energosertificēšanu vai būvspeciālists ir novērtējis, ka normas īstenošana rada nesamērīgas izmaksas tās ieviešanai, tad novērtējumā ēkas pārvaldniekam/īpašniekam būs norādīts prasību neīstenot.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termiņu pārcelšana Direktīvas Nr. 2024/1275 prasībām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var sasaistīt apgaismojuma vadības ierīču (arī gaismekļu nomaiņu) ar uzstādītās apkures un ventilācijas sistēmu jaudu. Tās ir pilnīgi atsevišķas sistēmas, kas nav savstarpēji saistītas.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apgaismes sistēma ir daļa no ēkas kopējās inženiertehniskās sistēmas. Noradām, ka šāda prasība ir noteikta direktīvas 2024/1275 13.panta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publiskā sektora ēku ir projektētas un būvētas laikā, kad normatīvajos aktos noteiktā aprēķina sniega slodze bija 70 kg/m², kas daudzviet neatbilst faktiskajiem klimatiskajiem apstākļiem reģionos. Piemēram, Valmierā tā būs 175kg/m2 un vēl ar papildus drošuma koeficientiem sniega sanesumiem var sasniegt arī divreiz lielāku slodzi. Līdz ar to prasība obligāti uzstādīt saules paneļus uz esošo ēku jumtiem ne vienmēr ir tehniski pamatota un var radīt riskus ēku jumtu nestspējai un ekspluatācijas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elektroenerģijas biržas cenu dinamika liecina, ka jau šobrīd noteiktos periodos elektroenerģijas ražošanas apjoms pārsniedz tūlītējo patēriņu tīklā. Šādā situācijā nav skaidrs pamatojums papildu slodzes radīšanai elektroenerģijas pārvades un sadales sistēmai, būtiski palielinot decentralizētās saules enerģijas ražošanas apjomus bez atbilstošām uzkrāšanas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lietderīgāk būtu paredzēt investīcijas elektroenerģijas uzkrāšanas risinājumos, piemēram, akumulatoru sistēmās vai hidroakumulācijas infrastruktūrā, kur elektroenerģija tiek uzkrāta potenciālās enerģijas veidā un izmantota periodos, kad pieprasījums ir augsts, bet saules enerģijas ražošana nav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būvspeciālists vai neatkarīgais eksperts ir novērtējis, ka normas īstenošana rada nesamērīgas izmaksas tās ieviešanai, tad novērtējumā ēkas pārvaldniekam/īpašniekam būs norādīts prasību neīstenot.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noteikumu projekta 10.</w:t>
            </w:r>
            <w:r w:rsidR="00000000" w:rsidRPr="00000000" w:rsidDel="00000000">
              <w:rPr>
                <w:vertAlign w:val="superscript"/>
                <w:rtl w:val="0"/>
              </w:rPr>
              <w:t xml:space="preserve">3</w:t>
            </w:r>
            <w:r w:rsidR="00000000" w:rsidRPr="00000000" w:rsidDel="00000000">
              <w:rPr>
                <w:rtl w:val="0"/>
              </w:rPr>
              <w:t xml:space="preserve"> punktā ir definēti izņēmumi saules enerģijas iekārtu uzstādīšanai.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noteikta vispārīgi, bez izvērtējuma par izmaksu efektivitāti un reālo enerģijas ietaupījumu dažādos ēku tipos. Lūdzam papildināt ar skaidriem kritērijiem un izmaksu–ieguvumu analīzi. Izziņā norādīts, ka jauno prasību ieviešanas lietderību un finansiālo pamatotību novērtē sertificēts būvspeciālists vai neatkarīgais eksperts. Tomēr šādā termiņā nebūs iespējams apsekot visas valsts pašvaldības ēkas un noteikt pamatotību, turklāt tas ir maksas pakalpojums, kam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termiņi nav sasaistīti ar ekspertu un finansējuma pieejamību un pašvaldību investīciju plānošanas cikliem. Prasību izpilde lielā mērā ir atkarīga no Eiropas Savienības fondu pieejamības, līdz ar to nepieciešama elastīgāka pieeja vai sasaistes mehānisms ar finansējuma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būvspeciālists vai neatkarīgais eksperts ir novērtējis, ka normas īstenošana rada nesamērīgas izmaksas tās ieviešanai, tad novērtējumā ēkas pārvaldniekam/īpašniekam būs norādīts prasību neīstenot.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termiņu pārcelšana Direktīvas Nr. 2024/1275 prasībām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publiskā sektora ēku ir projektētas un būvētas laikā, kad normatīvajos aktos noteiktā aprēķina sniega slodze bija 70 kg/m², kas daudzviet neatbilst faktiskajiem klimatiskajiem apstākļiem reģionos. Piemēram, Valmierā tā būs 175kg/m2 un vēl ar papildus drošuma koeficientiem sniega sanesumiem var sasniegt arī divreiz lielāku slodzi. Līdz ar to prasība obligāti uzstādīt saules paneļus uz esošo ēku jumtiem ne vienmēr ir tehniski pamatota un var radīt riskus ēku jumtu nestspējai un ekspluatācijas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elektroenerģijas biržas cenu dinamika liecina, ka jau šobrīd noteiktos periodos elektroenerģijas ražošanas apjoms pārsniedz tūlītējo patēriņu tīklā. Šādā situācijā nav skaidrs pamatojums papildu slodzes radīšanai elektroenerģijas pārvades un sadales sistēmai, būtiski palielinot decentralizētās saules enerģijas ražošanas apjomus bez atbilstošām uzkrāšanas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lietderīgāk būtu paredzēt investīcijas elektroenerģijas uzkrāšanas risinājumos, piemēram, akumulatoru sistēmās vai hidroakumulācijas infrastruktūrā, kur elektroenerģija tiek uzkrāta potenciālās enerģijas veidā un izmantota periodos, kad pieprasījums ir augsts, bet saules enerģijas ražošana nav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būvspeciālists vai neatkarīgais eksperts ir novērtējis, ka normas īstenošana rada nesamērīgas izmaksas tās ieviešanai, tad novērtējumā ēkas pārvaldniekam/īpašniekam būs norādīts prasību neīstenot.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noteikumu projekta 10.</w:t>
            </w:r>
            <w:r w:rsidR="00000000" w:rsidRPr="00000000" w:rsidDel="00000000">
              <w:rPr>
                <w:vertAlign w:val="superscript"/>
                <w:rtl w:val="0"/>
              </w:rPr>
              <w:t xml:space="preserve">3</w:t>
            </w:r>
            <w:r w:rsidR="00000000" w:rsidRPr="00000000" w:rsidDel="00000000">
              <w:rPr>
                <w:rtl w:val="0"/>
              </w:rPr>
              <w:t xml:space="preserve"> punktā ir definēti izņēmumi saules enerģijas iekārtu uzstādīšanai.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ieviešanas pieeja balstīta uz ēku platību, nevis energoefektivitātes prioritātēm. Lūdzam pāriet uz pieeju, kur primāri tiek identificētas neefektīvākās ēkas un investīcijas tiek koncentrētas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pašvaldībās ar ieviestu energopārvaldības sistēmu jau ir noteikti investīciju plāni, kas būtu ņemami vērā, paredzot izņēmumus vai elastību šo prasību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grozījumos ietvert punktu, ka uz pašvaldībām, kurās ir ieviesta energopārvaldības sistēma, šo noteikumu grozījumos ietvertās prasības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iespējami ātrāk sasniegtu valsts noteiktos mērķus, ierosinām visās pašvaldībās veikt visu pašvaldību iestāžu ēku enerģijas patēriņa datu revīziju, nosakot iestāžu ēku vidējo īpatnējo siltumenerģijas (ar laikapstākļu korekciju) un elektroenerģijas patēriņu katrā pašvaldībā. Un uzsvaru uz energoefektivitāti likt tajās teritorijās, kurās tas ir acīmredzami nepieciešams un ir ekonomiski pamatoti.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ir Direktīvas Nr. 2024/1275 prasība, un to ieviešanai atļautie izņēmumi ir noteikti šajā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visas prasības, kur ir jāvērtē to ieviešanas lietderīgums, izvērtē sertificēts būvspeciālists vai neatkarīgs eksperts. Ja būvspeciālists vai neatkarīgais eksperts ir novērtējis, ka normas īstenošana rada nesamērīgas izmaksas tās ieviešanai, tad novērtējumā ēkas pārvaldniekam/īpašniekam būs norādīts prasību neīstenot.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5. uzstādīšanu būtiski ierobežo pastāvīgs ēnojums vai citi ārējie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(nepieciešamības gadījumā - piemērveidā) skaidrot, kādi citi ārējie apstākļi varētu uzstādīšanu būtiski ierobežot.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5. uzstādīšanu būtiski ierobežo pastāvīgs ēnojums vai citi ārējie apstākļi.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kādēļ kā alternatīva vairs (proti, saskaņošanas gaitā šī alternatīva noteikumu projektā ir svītrota) netiek paredzēts tas, ka velosipēdu stāvvietas veido vismaz 15 % no nedzīvojamo ēku vidējās lietotāju kapacitātes, kā izriet no korespondējošās direktīvas nomas. Alternatīvi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ēkas kopējo lietotāju kapacitāti, kura ietvaros ir minēts, ka tā ir noteikta saskaņā ar būvnormatīviem, ugunsdrošības jomas regulējumu un citiem noteikumiem ēku ekspluatācijas jomā. Savukārt, "ēkas vidējā lietotāju kapacitāte" nav definēta un termina noteikšana tādējādi radīs problēmas tās piemērošanā, kamdēļ tā ir izņemta arī no Grozījumiem Ministru kabineta 2021. gada 19. oktobra noteikumu Nr. 693 "Būvju vispārīgo prasību būvnormatīvs LBN 200-21" (25-TA-1187).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iekļauts šāds nosacījums, nepieciešams skaidri definēt jēdzienu “standarta velosipēds”. Piemēram, būtu lietderīgi noteikt prasību nodrošināt iespēju velosipēdu pieslēgt pie rāmja, tādējādi novēršot situācijas, kurās velonovietnes paredzētas tikai priekšējā riteņa nostiprināšanai. Savukārt “n” veida veloturētāji ir piemēroti dažādu tipu velosipēdiem, kā arī mopēdiem.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Optimālas velosipēdu stāvvietas projektēšana ir sertificēta būvspeciālista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 prasība par vietu skaitu velosipēdu stāvvietā neattiecas uz tām nedzīvojamām ēkām, kurām parasti ar velosipēdu nepiekļūst.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tiesiskās noteiktības nolūkā apvienot šo noteikumu 12.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un 12.</w:t>
            </w:r>
            <w:r w:rsidR="00000000" w:rsidRPr="00000000" w:rsidDel="00000000">
              <w:rPr>
                <w:vertAlign w:val="superscript"/>
                <w:rtl w:val="0"/>
              </w:rPr>
              <w:t xml:space="preserve">5</w:t>
            </w:r>
            <w:r w:rsidR="00000000" w:rsidRPr="00000000" w:rsidDel="00000000">
              <w:rPr>
                <w:rtl w:val="0"/>
              </w:rPr>
              <w:t xml:space="preserve">punktus vai citādi savstarpēji sasaistīt (piemēram, ar iekšējām atsaucēm) minētos punktus. Norādām, ka pirmšķietami, piemērojot normas atbilstoši direktīvai, 12.</w:t>
            </w:r>
            <w:r w:rsidR="00000000" w:rsidRPr="00000000" w:rsidDel="00000000">
              <w:rPr>
                <w:vertAlign w:val="superscript"/>
                <w:rtl w:val="0"/>
              </w:rPr>
              <w:t xml:space="preserve">5</w:t>
            </w:r>
            <w:r w:rsidR="00000000" w:rsidRPr="00000000" w:rsidDel="00000000">
              <w:rPr>
                <w:rtl w:val="0"/>
              </w:rPr>
              <w:t xml:space="preserve"> punkts sniedz piemērus 12.</w:t>
            </w:r>
            <w:r w:rsidR="00000000" w:rsidRPr="00000000" w:rsidDel="00000000">
              <w:rPr>
                <w:vertAlign w:val="superscript"/>
                <w:rtl w:val="0"/>
              </w:rPr>
              <w:t xml:space="preserve">1</w:t>
            </w:r>
            <w:r w:rsidR="00000000" w:rsidRPr="00000000" w:rsidDel="00000000">
              <w:rPr>
                <w:rtl w:val="0"/>
              </w:rPr>
              <w:t xml:space="preserve"> punktā minētajam izņēmumam, savukārt 12.</w:t>
            </w:r>
            <w:r w:rsidR="00000000" w:rsidRPr="00000000" w:rsidDel="00000000">
              <w:rPr>
                <w:vertAlign w:val="superscript"/>
                <w:rtl w:val="0"/>
              </w:rPr>
              <w:t xml:space="preserve">4</w:t>
            </w:r>
            <w:r w:rsidR="00000000" w:rsidRPr="00000000" w:rsidDel="00000000">
              <w:rPr>
                <w:rtl w:val="0"/>
              </w:rPr>
              <w:t xml:space="preserve"> punkts paredz procedūru, kādā šo izņēmumu var piemērot, tomēr no noteikumu projekta redakcijas un anotācijas tas neizriet. Alternatīvi, ja tiek paplašināts direktīvā minētais izņēmums, lūdzam sniegt attiecīgu direktīvā balstītu pamatojumu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Precizējošie punkti (12.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un 12.</w:t>
            </w:r>
            <w:r w:rsidR="00000000" w:rsidRPr="00000000" w:rsidDel="00000000">
              <w:rPr>
                <w:vertAlign w:val="superscript"/>
                <w:rtl w:val="0"/>
              </w:rPr>
              <w:t xml:space="preserve">5</w:t>
            </w:r>
            <w:r w:rsidR="00000000" w:rsidRPr="00000000" w:rsidDel="00000000">
              <w:rPr>
                <w:rtl w:val="0"/>
              </w:rPr>
              <w:t xml:space="preserve">) visi attiecas uz 12.2. apakšpunktu, jo paredz saistības nedzīvojamām ēkām kopumā, ne tikai publiskām.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Līdz 2033. gada 1. janvārim nedzīvojamā ēkā, kas ir publiskā sektora subjekta valdījumā,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Elektrokabeļu uzstādīšana uzskatāma par nelietderīgu risinājumu, jo pastāv augsts to bojāšanas vai zādzības risks, kabeļus izvelkot no gofrētajām aizsargcaurulēm. Turklāt ir ticams, ka sākotnēji izbūvētais kabeļu šķērsgriezums nākotnē neatbildīs faktiskajām jaudas prasībām, līdz ar to, uzstādot elektrotransportlīdzekļu uzlādes iekārtas, kabeļi būs jāmaina. Šādu infrastruktūras izbūvi lietderīgāk būtu atstāt komersantu kompetencē, kuriem uzlādes tīkla attīstība ir saimnieciskās darbības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ir Direktīvas Nr. 2024/1275 prasība, un to ieviešanai atļautie izņēmumi ir noteikti šajā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 Attiecīgi, ja būvspeciālists vai neatkarīgais eksperts ir novērtējis, ka normas īstenošana rada nesamērīgas izmaksas tās ieviešanai, tad novērtējumā ēkas pārvaldniekam/īpašniekam būs norādīts prasību neīstenot. Tas iekļauj arī infrastruktūras ekspluatāciju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2.1. kuru tiešā funkcionālā tuvumā (piemēram, viena zemesgabala vai kvartāla ietvaros) atrodas koplietošanas elektrotransportlīdzekļu uzlādes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vai kvartāla ietvaros” ir nesaprotams attālums.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attālumu metros vai kilometros. Lauku teritorijās noteikti attālums varētu būt lielāks, jo elektroauto ir mazāk.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Termini "zemesgabals" un "kvartāls" ir skaidroti Nekustamā īpašuma valsts kadastra likumā ("zemes vienība") un Ministru kabineta 2013.gada 30.aprīļa noteikumos Nr.240 "Vispārīgie teritorijas plānošanas, izmantošanas un apbūves noteikumi". Šīs vienības pilsētu (un daļā ciemu) ir kopumā apgriezti proporcionālas šajā vienībā esošo iedzīvotāju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2.1. kuru tiešā funkcionālā tuvumā (piemēram, viena zemesgabala vai kvartāla ietvaros) atrodas koplietošanas elektrotransportlīdzekļu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vai tā anotācijā skaidrot, kas ir saprotams ar "</w:t>
            </w:r>
            <w:r w:rsidR="00000000" w:rsidRPr="00000000" w:rsidDel="00000000">
              <w:rPr>
                <w:u w:val="single"/>
                <w:rtl w:val="0"/>
              </w:rPr>
              <w:t xml:space="preserve">ievērojamu</w:t>
            </w:r>
            <w:r w:rsidR="00000000" w:rsidRPr="00000000" w:rsidDel="00000000">
              <w:rPr>
                <w:rtl w:val="0"/>
              </w:rPr>
              <w:t xml:space="preserve"> attālumu", ņemot vērā, ka konkrētā norāde ir subjektīva un varētu būt apgrūtinoši piemērojama praksē. Līdzīgi lūdzam skaidrot arī noteikumu projektā lietotos terminus "</w:t>
            </w:r>
            <w:r w:rsidR="00000000" w:rsidRPr="00000000" w:rsidDel="00000000">
              <w:rPr>
                <w:u w:val="single"/>
                <w:rtl w:val="0"/>
              </w:rPr>
              <w:t xml:space="preserve">būtiski</w:t>
            </w:r>
            <w:r w:rsidR="00000000" w:rsidRPr="00000000" w:rsidDel="00000000">
              <w:rPr>
                <w:rtl w:val="0"/>
              </w:rPr>
              <w:t xml:space="preserve"> ierobežojumi", "</w:t>
            </w:r>
            <w:r w:rsidR="00000000" w:rsidRPr="00000000" w:rsidDel="00000000">
              <w:rPr>
                <w:u w:val="single"/>
                <w:rtl w:val="0"/>
              </w:rPr>
              <w:t xml:space="preserve">būtiski</w:t>
            </w:r>
            <w:r w:rsidR="00000000" w:rsidRPr="00000000" w:rsidDel="00000000">
              <w:rPr>
                <w:rtl w:val="0"/>
              </w:rPr>
              <w:t xml:space="preserve"> pārtraukumi"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anotācijā esošo skaidrojumu par sertificētu būvspeciālistu un neatkarīgu ekspertu kompetenci normu īstenošanā, proti, to tehnisku, ekonomisku, un funkcionālu novērtēšanu, pieminēto gadījumu lietā šie profesionāļi pēc samērīguma principa vērtē kopējo situāciju projekta īstenošanas gadījumā un attiecīgi rīkojas.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pastāv kopējā tīkla ierobežojumi vai ir grūti prognozēt ar iepriekš ierīkotu kabeļu ierīkošanu saistītās tālākās faktiskās vajadzības, tad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minēto kabeļu iepriekšēju ierīkošanu pieļaujams aizstāt ar kabeļkanāliem ar ievilcējvadu un kabeļrenēm iekštelpu autostāvvietās un zonās bez cietā seguma.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12.1. apakšpunktā nav minēta kabeļu iepriekšēja ierīkošana, tādēļ lūdzam attiecīgi precizēt normā ietverto atsauci,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sasaistīta ar atbilstošo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 pastāv kopējā tīkla ierobežojumi vai ir grūti prognozēt ierīkojamo kabeļu saistītās tālākās faktiskās vajadzības, tad 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kabeļus pieļaujams aizstāt ar kabeļkanāliem ar ievilcējvadu un kabeļrenēm iekštelpu autostāvvietās un zonās bez cietā seguma.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10. decembra noteikumos Nr. 730 "Ekspluatējamu ēku energoefektivitātes minimālās prasības" (Latvijas Vēstnesis, 2020, 242. nr.; 2025, 22.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Iekšlietu ministrijas iepriekš izteiktais priekšlikums attiecībā uz grozījumu Ministru kabineta 2020. gada 10. decembra noteikumu Nr. 730 "Ekspluatējamu ēku energoefektivitātes minimālās prasības" projekta (turpmāk - noteikumu projekts) 1.6. apakšpunktu ir ņemts vērā tikai daļēji. Noteikumu projekts ir papildināts ar 1.8. apakšpunktu, kas nosaka, kādos gadījumos prasību par saules enerģijas iekārtu uzstādīšanu nepiemēro un izziņā ir sniegts skaidrojums, ka nosacījumi attiecībā uz saules enerģijas iekārtu uzstādīšanas tehnisku piemērotību, ekonomisku un funkcionālu īstenošanu būs noteikti grozījumos Ministru kabineta 2021. gada 19. oktobra noteikumos Nr. 693 "Būvju vispārīgo prasību būvnormatīvs LBN 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19. oktobra noteikumu Nr. 693 "Būvju vispārīgo prasību būvnormatīvs LBN 200-21" grozījumos paredzētie nosacījumi attiecībā uz izņēmumiem saules enerģijas iekārtu uzstādīšanas tehniskai piemērotībai, ekonomiskai un funkcionālai īstenošanai būs attiecināmi uz jaunām ēkām vai nedzīvojamām ēkām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turpretī noteikumu projekta tvērums ir attiecināms arī uz publiskā sektora subjekta ēkām kuru kopējā platība pārsniedz 250 m</w:t>
            </w:r>
            <w:r w:rsidR="00000000" w:rsidRPr="00000000" w:rsidDel="00000000">
              <w:rPr>
                <w:vertAlign w:val="superscript"/>
                <w:rtl w:val="0"/>
              </w:rPr>
              <w:t xml:space="preserve">2</w:t>
            </w:r>
            <w:r w:rsidR="00000000" w:rsidRPr="00000000" w:rsidDel="00000000">
              <w:rPr>
                <w:rtl w:val="0"/>
              </w:rPr>
              <w:t xml:space="preserve">, no kā secināms, ka Ministru kabineta 2021. gada 19. oktobra noteikumos Nr. 693 "Būvju vispārīgo prasību būvnormatīvs LBN 200-21" noteiktie izņēmumi uz šīm ēkām neatbildīs.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noteikumu projektu papildināt ar visiem izņēmumiem, kas noteikti grozījumu Ministru kabineta 2021. gada 19. oktobra noteikumu Nr. 693 "Būvju vispārīgo prasību būvnormatīvs LBN 200-21" projekta (10.0 Redakcija) 130.</w:t>
            </w:r>
            <w:r w:rsidR="00000000" w:rsidRPr="00000000" w:rsidDel="00000000">
              <w:rPr>
                <w:vertAlign w:val="superscript"/>
                <w:rtl w:val="0"/>
              </w:rPr>
              <w:t xml:space="preserve">20</w:t>
            </w:r>
            <w:r w:rsidR="00000000" w:rsidRPr="00000000" w:rsidDel="00000000">
              <w:rPr>
                <w:rtl w:val="0"/>
              </w:rPr>
              <w:t xml:space="preserve">7 apakšpunktā, vai noteikumu projektā paredzēt atsauci uz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ekspluatējamām ēkām papildus atkāpes no minētās normas ir sertificētu būvspeciālistu un neatkarīgu ekspertu kompetencē un LBN 200-21 noteiktās prasības ir izmantojamas kā konsultatīvs materiāls. Attiecīgi, ja būvspeciālists vai neatkarīgais eksperts ir novērtējis, ka normas īstenošana (šeit: saules enerģijas iekārtu uzstādīšana) rada nesamērīgas izmaksas tās ieviešanai, tad novērtējumā ēkas pārvaldniekam/īpašniekam būs norādīts prasību neīstenot.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anotācijas 1.3. apakšsadaļā tiek skaidrots katra būtiskā grozījuma noteikumu projektā nepieciešamība un mērķis. Vēršam uzmanību, ka vairākos gadījumos šobrīd skaidrojums sniegts vispārīgi, faktiski norādot, kāds regulējums ar noteikumu projektu tiek paredzēts (piem.: "Papildināts Noteikumu 2.punkts ar precizējumu par prasību attiecināšanu tikai dzīvojamām ēkām). Tā vietā lūdzam skaidrojumus minētajā apakšsadaļā konsekventi sasaistīt ar konkrētām direktīvas prasībām vai citādi skaidrot problemātiku, kāpēc nepieciešams veikt attiecīgo grozījumu un kādēļ attiecīgais noteikumu projekta regulējums ir samērīgs un efektīvākais risinājums konkrētajai problēmai.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Dzīvojama ēka uzskatāma par atbilstošu enerģijas patēriņa līmeņa un primārās enerģijas patēriņa līmeņa minimālajām prasībām, ja tās energoefektivitātes klases rādītājs saskaņā ar normatīvajiem aktiem ēku energosertifikācijas jomā atbilst atbilst E klasei vai augstākai klasei.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("atbilst 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dublējums.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Dzīvojama ēka uzskatāma par atbilstošu enerģijas patēriņa līmeņa un primārās enerģijas patēriņa līmeņa minimālajām prasībām, ja tās energoefektivitātes klases rādītājs saskaņā ar normatīvajiem aktiem ēku energosertifikācijas jomā atbilst E klasei vai augstākai klasei.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9.punktā būtu jānorāda, kas ir atbildīgs par novērtēšanu, vai pasākums ir ekonomiski un funkcionāli realizējams (tāpat kā noteikumu 5.</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kuru ieviešanai ir noteikta veicamās darbības novērtēšana (tehniska, ekonomiska, funkcionāla), ir sertificētu būvspeciālistu un neatkarīgu ekspertu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pārformulēt Noteikumu 10.punktā ietverto nosacījumu, citādi vai skaidrot - ja tiek izvērtēts, ka nav ekonomiski pamatoti uzstādīt automātisku apgaismojuma vadību, vai tas nozīmē, ka termiņi, kas minēti 10. punktā nav jāņem vērā? Tas pats attiecas uz Noteikumu 10.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primāri jānovērtē īstenojamās rīcības lietderīgums, proti, jāsaņem sertificēta būvspeciālista vai neatkarīga eksperta vērtējums. Attiecīgi, prasību ieviešanas termiņi ir pakārtoti to lietderīgumam.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w:t>
            </w:r>
            <w:r w:rsidR="00000000" w:rsidRPr="00000000" w:rsidDel="00000000">
              <w:rPr>
                <w:vertAlign w:val="superscript"/>
                <w:rtl w:val="0"/>
              </w:rPr>
              <w:t xml:space="preserve">1</w:t>
            </w:r>
            <w:r w:rsidR="00000000" w:rsidRPr="00000000" w:rsidDel="00000000">
              <w:rPr>
                <w:rtl w:val="0"/>
              </w:rPr>
              <w:t xml:space="preserve"> punktā būtu vēlams skaidrojums, kas ir "saules enerģijas iekārta". Vai tie ir domāti saules paneļi vai saules kolektori, vai abi.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"saules enerģijas iekārta" tā formulējumā aptver abas enerģijas (elektroenerģijas un siltumenerģijas) kategorijas.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korespondējošajā direktīvas vienībā norādīts uz lietderīgo grīdas platību, nevis kopējo platību, tādēļ lūdzam sniegt pamatotu skaidrojumu par noteikumu projektā lietoto terminoloģiju vai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termina "kopējā platība" skaidrojumu (noteikts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3.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w:t>
            </w:r>
            <w:r w:rsidR="00000000" w:rsidRPr="00000000" w:rsidDel="00000000">
              <w:rPr>
                <w:vertAlign w:val="superscript"/>
                <w:rtl w:val="0"/>
              </w:rPr>
              <w:t xml:space="preserve">3</w:t>
            </w:r>
            <w:r w:rsidR="00000000" w:rsidRPr="00000000" w:rsidDel="00000000">
              <w:rPr>
                <w:rtl w:val="0"/>
              </w:rPr>
              <w:t xml:space="preserve"> 3.apakšpunktā būtu vēlams aizstāt vārdu "būtiski" ar precīzu skaidrojumu, kas norāda, ka enerģijas patēriņa cikls nesakrīt ar saules enerģijas ražošanas laiku. Piem., ja gada laikā (8760 h) vismaz 30% no laika (2628 h) ēka netiek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parametru izvērtēšana ir sertificēto būvspeciālistu un neatkarīgo ekspertu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3.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iekštelpu vides kvalitātes monitoringu, nodrošinot vismaz gaisa temperatūras, relatīvā mitruma un CO</w:t>
            </w:r>
            <w:r w:rsidR="00000000" w:rsidRPr="00000000" w:rsidDel="00000000">
              <w:rPr>
                <w:vertAlign w:val="subscript"/>
                <w:rtl w:val="0"/>
              </w:rPr>
              <w:t xml:space="preserve">2</w:t>
            </w:r>
            <w:r w:rsidR="00000000" w:rsidRPr="00000000" w:rsidDel="00000000">
              <w:rPr>
                <w:rtl w:val="0"/>
              </w:rPr>
              <w:t xml:space="preserve"> koncentrācijas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11.4.apakšpunktā tiesiskās skaidrības nodrošināšanai būtu vēlams norādīt, kādās telpu grupās jāveic monitorings, piem., tehniskajās telpās, tualetēs u.tml. telpās normālos apstākļos nav nepieciešams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Monitorings jāveic tām telpām, kur cilvēka klātbūtne ir regulāra (apmeklēta vismaz reizi dienā). Apmeklētība vienai telpu grupai nav nemainīgs lielums, tādējādi tas nav piemērots faktors monitoringa veikšanai vai neveikšanai.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vērtējums par monitoringa ierīču uzstādīšanu atbilstoši anotācijā skaidrotajam ir sertificēta būvspeciālista un neatkarīga eksperta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iekštelpu vides kvalitātes monitoringu, nodrošinot vismaz gaisa temperatūras, relatīvā mitruma un CO</w:t>
            </w:r>
            <w:r w:rsidR="00000000" w:rsidRPr="00000000" w:rsidDel="00000000">
              <w:rPr>
                <w:vertAlign w:val="subscript"/>
                <w:rtl w:val="0"/>
              </w:rPr>
              <w:t xml:space="preserve">2</w:t>
            </w:r>
            <w:r w:rsidR="00000000" w:rsidRPr="00000000" w:rsidDel="00000000">
              <w:rPr>
                <w:rtl w:val="0"/>
              </w:rPr>
              <w:t xml:space="preserve"> koncentrācijas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vienu elektrotransportlīdzekļu uzlādes punktu uz 10 autostāvvietām vai ierīko kabeļkanālus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atbilstoši korespondējošajai direktīvas normai noteikumu projektā skaidrot, ka ar kabeļkanāliem saprotami elektrības kabeļiem paredzēti kanāli, lai vēlākā stadijā būtu iespējams ierīkot elektrotransportlīdzekļu uzlādes punktus, vai sniegt skaidrojumu noteikumu projekta anotācijā, kādā ārējā normatīvajā aktā konkrētais termins ir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termina "kabeļkanāli"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vienu elektrotransportlīdzekļu uzlādes punktu uz 10 autostāvvietām vai ierīko kabeļkanālus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vienu elektrotransportlīdzekļu uzlādes punktu uz 10 autostāvvietām vai ierīko kabeļkanālus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noteikumiem elektrotransportlīdzeklis uzlādes vietā drīkst atrasties tikai uzlādes procesa laikā. Līdz ar to praksē šādu vietu ierīkošana samazina kopējo pieejamo stāvvietu skaitu teritorijās, kur autostāvvietu kapacitāte jau šobrīd ir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elektrotransportlīdzekļu uzlādes infrastruktūras tīkls Latvijā šobrīd vērtējams kā pietiekami attīstīts, un daudzviet uzlādes iekārtu noslodze saglabājas zema. Precīzāku informāciju par uzlādes punktu izmantošanas intensitāti iespējams iegūt no Mobilly, kas nodrošina maksājumu apkalpošanu lielākajai daļai publiskā uzlādes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uzlādes infrastruktūras izbūvi un uzturēšanu jau pašlaik nodrošina komersanti, šīs jomas attīstību lietderīgāk būtu atstāt tirgus dalībnieku kompetencē. Šāda pieeja varētu nodrošināt efektīvāku infrastruktūras attīstību, vienlaikus neradot papildu slogu pašvaldību budžetiem un nodokļu maksātāju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kabeļkanālu izbūve stāvlaukumos prasītu esošā seguma pārbūvi un teritorijas uzrakšanu, kas var negatīvi ietekmēt seguma kvalitāti un palielināt infrastruktūras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normas par uzlādes punktu ierīkošanu un saistošās infrastruktūras izbūvēšanu ir noteiktas Direktīvā Nr. 2024/1275, un ir apspriežamas tikai Eiropas Komisijas atļauto atkāpju ietvaros, kas norādītas noteikumu projekta 14.-18.punktā.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vienu elektrotransportlīdzekļu uzlādes punktu uz 10 autostāvvietām vai ierīko kabeļkanālus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12.2.apakšpunktā skaidrot, kas ir "lielāka izmēra velosipēdi", lai ēkas īpašnieks var rezervēt nepieciešamo platību. Rekomendētu norādīt nestandarta velosipēdu rezervējamo platību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Vietas "lielāka izmēra velosipēdiem" vēlams novērtēt pēc tirgū pieprasīto velosipēdu apjoma gara auguma (ap 2 m) personām. Attiecīgi, nepieciešamo vietu skaits stāvvietu zonā ir no 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Līdz 2033. gada 1. janvārim nedzīvojamā ēkā, kas ir publiskā sektora subjekta valdījumā,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w:t>
            </w:r>
            <w:r w:rsidR="00000000" w:rsidRPr="00000000" w:rsidDel="00000000">
              <w:rPr>
                <w:vertAlign w:val="superscript"/>
                <w:rtl w:val="0"/>
              </w:rPr>
              <w:t xml:space="preserve">2</w:t>
            </w:r>
            <w:r w:rsidR="00000000" w:rsidRPr="00000000" w:rsidDel="00000000">
              <w:rPr>
                <w:rtl w:val="0"/>
              </w:rPr>
              <w:t xml:space="preserve"> punktā būtu vēlams norādīt datumu, līdz kuram būs jāaprīko sāvvietas ar autouzlādes punktiem, lai ēkas īpašnieks var rēķināties ar laiku un izmaksām, kad autouzlādes punkti būs jāuzstāda. Lai nerastos situācija, ka kabeļi ir uzstādīti, bet pēc tam valstiski netiek prasīts tos aprīkot ar autouzlādes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esošās Direktīvas Nr.2024/1275 redakcijā nav noteikts, jo ES pagaidām ir plānots tikai izveidot infrastruktūras bāzi, ko nākotnē aprīkos ar jaunākās paaudzes uzlādes ierīcēm - ievilkto kabeļu noslodzei atbilstošām, bet vēl ātrākām un efektīvākām.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13:58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Ēku energoefektivitātes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 9 punkta jauno redakciju, uzsverot,  ka prasība ir piemērojama tikai gadījumos, kad attiecīgajai ēkai ir pieejams valsts vai ES fondu finansējums vai veikta kompleksa ēkas atjaunošana, nevis atsevišķa siltumģeneratora nomaiņa.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ēkās bieži tiek veikta tikai lokāla apkures sistēmas nomaiņa un prasības paplašināšana līdz telpu līmeņa monitoringa sistēmām šādos gadījumos nav samērīga ar sasniedzamo enerģijas ietaupījumu un rada nesamērīgu finanšu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jauno prasību ieviešanas lietderību un finansiālo pamatotību novērtē sertificēts būvspeciālists vai neatkarīgais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Ēku energoefektivitātes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punkta 10 2 prim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obligātos termiņus vai aizstāt tos ar rekomendējošu normu, sasaistot ieviešanu ar valsts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nav iespējams plānot ilgtermiņa investīcijas bez garantēta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Nr. 2024/1275. Dalībvalstīm nav paredzēta rīcības brīvība mainīt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10. decembra noteikumos Nr. 730 "Ekspluatējamu ēku energoefektivitātes minimālās prasības" (Latvijas Vēstnesis, 2020, 242. nr.; 2025, 22.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Līdz 2027. gada 1. janvārim nedzīvojamā ēkā ar vairāk nekā 20 autostāvvietām ierīko:</w:t>
            </w:r>
            <w:r w:rsidR="00000000" w:rsidRPr="00000000" w:rsidDel="00000000">
              <w:rPr>
                <w:i w:val="1"/>
                <w:rtl w:val="0"/>
              </w:rPr>
              <w:t xml:space="preserve">12.1. vismaz vienu elektrotransportlīdzekļu uzlādes punktu uz 10 autostāvvietām vai ierīko kabeļkanālus vismaz 50 % automašīnu stāvvietām;</w:t>
            </w:r>
            <w:r w:rsidR="00000000" w:rsidRPr="00000000" w:rsidDel="00000000">
              <w:rPr>
                <w:i w:val="1"/>
                <w:rtl w:val="0"/>
              </w:rPr>
              <w:t xml:space="preserve">12.2. velosipēdu stāvvietas, kas veido vismaz 15 % no ēkas vidējās lietotāju kapacitātes vai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Vēršam uzmanību, ka Eiropas Parlamenta un Padomes Regula (ES) 2018/858 (2018. gada 30. maijs) par mehānisko transportlīdzekļu un to piekabju, kā arī tādiem transportlīdzekļiem paredzētu sistēmu, sastāvdaļu un atsevišķu tehnisku vienību apstiprināšanu un tirgus uzraudzību un ar ko groza Regulas (EK) Nr. 715/2007 un (EK) Nr. 595/2009 un atceļ Direktīvu 2007/46/EK paredz noteiktus atvieglojumus tādiem autotransporta līdzekļiem, kas ir konstruēti un izgatavoti vai pielāgoti civilās aizsardzības dienestu, ugunsdzēsības dienestu un sabiedriskās kārtības uzturēšanas dienestu vajadzībām. EIROPAS PARLAMENTA UN PADOMES DIREKTĪVA 2009/33/EK (2009. gada 23. aprīlis), par tīru autotransporta līdzekļu izmantošanas veicināšanu mazemisiju mobilitātes atbalstam paredz iepriekš minēto transportlīdzekļu atbrīvošanu no prasības par tīru autotransporta līdzekļu izmantošanas veicināšanu mazemisiju mobilitātes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ekonomiski pamatoti un lietderīgi šo dienestu lietošanā esošajos objektos ierīkot tik lielu elektrotransportlīdzekļu uzlādes punktu skaitu, kā arī kabeļkanālus vismaz 50 % automašīnu stāvvietām (kas atrodas ēkas iekšienē), jo tas neatbilst dienestu faktiskajām vajadzībām, kā rezultātā izbūvētā infrastruktūra netiks izmantota, radot iestādei nesamērīgus izdevumus saistībā ar šādas infrastruktūras ierīkošanu un uzturēšanu, jo, lai ierīkotu elektrotransportlīdzekļu uzlādes punktu, būs nepieciešams palielināt un uzturēt elektroenerģijas jaudu, līdz ar ko iestādes būs spiestas maksāt gan par pieslēgumu, gan par jaudas uzturēšanu, kas veido gana augstas izmaksas. Tas pats ir attiecināms arī uz infrastruktūras izbūvei nepieciešamo kabeļu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norāda, ka šāda veida infrastruktūras izbūvē ir nepieciešama vienota, stratēģiski pamatota un koordināta pieeja, kam jābalstās uz ilgtermiņa attīstības tendencēm un lietotāju faktiskajām vajadzībām, uz ko norādījusi arī 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Ekonomikas ministrijā notikušās diskusijas saistībā ar tiesību aktu projektu “Grozījumi Ministru kabineta 2021. gada 19. oktobra noteikumos Nr. 693 “Būvju vispārīgo prasību būvnormatīvs LBN 200-21” (tiesību akta lieta 25-TA-1187), aicinām salāgot abu tiesību aktu projektu regulējumu un attiecīgi projektā paredzēt, ka šo noteikumu 12. punktu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autostāvvietām pie publiskā sektora subjektu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kuru tiešā funkcionālā tuvumā (piemēram, viena zemesgabala vai kvartāla ietvaros) atrodas koplietošanas elektrotransportlīdzekļu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 kurām funkcionālu vai drošības apsvērumu dēļ nav atļauta vai ir ierobežota automašīnu novietošana.”;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Noteikumu projekts ir sagatavots saskaņā ar Ēku energoefektivitātes likuma 4. panta otro daļu, kas paredz deleģējumu Ministru kabinetam  izdot noteikumus par sekojošām ekspluatējamu ēku minimālajām energoefektivitātes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ēku enerģijas patēriņa līmeni un primārās enerģijas patēriņa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ēkas inženiertehnisko sistēmu automatizācijas un vadības sistēmu funkcionalitāti, telpu mikroklimatu pašregulējošu ierīču uzstādīšanu, ēkā patērētā energonesēja vai enerģijas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elektrotransportlīdzekļu uzlādes punktu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prasības attiecībā uz velosipēdu stāvvietu ierīkošanu iziet ārpus likumā Ministru kabinetam noteiktās kompetences. Ņemot vērā minēto, attiecīgi svītrot noteikumu projekta 12.2. apakšpunktu un 12.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izņēmumus 12.punkta piemērošanai saskaņoti ar ar tiesību aktu projektā “Grozījumi Ministru kabineta 2021. gada 19. oktobra noteikumos Nr. 693 “Būvju vispārīgo prasību būvnormatīvs LBN 200-21” (tiesību akta lieta 25-TA-1187) veiktajiem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12.2. apakšpunkta un 12.</w:t>
            </w:r>
            <w:r w:rsidR="00000000" w:rsidRPr="00000000" w:rsidDel="00000000">
              <w:rPr>
                <w:vertAlign w:val="superscript"/>
                <w:rtl w:val="0"/>
              </w:rPr>
              <w:t xml:space="preserve">1</w:t>
            </w:r>
            <w:r w:rsidR="00000000" w:rsidRPr="00000000" w:rsidDel="00000000">
              <w:rPr>
                <w:rtl w:val="0"/>
              </w:rPr>
              <w:t xml:space="preserve"> punkta svītrošanu iebildums nav ņemts vērā, jo elektrotransportlīdzeklis ir arī elektriskais velosipēds (e-velosipēds).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anotācijas 1.2. apakšsadaļā minēto noteikumu projekta spēkā stāšanās termiņu ar noteikumu projektu, kam attiecīgs spēkā stāšanās termiņš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papildināts ar spēkā stāšanās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projekta anotācijā norādītajam, tam nav ietekmes uz valsts un pašvaldību budžetiem, vienlaikus tas paredz virkni prasību, kuru izpildei Iekšlietu ministrijai būs nepieciešams papildu finansējums. Lūdzam norādīt tiesību akta projekta ietekmi uz valsts un pašvaldības budžetiem, identificējot arī resursu avotus tajā paredzēto prasību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arī pārējo </w:t>
            </w:r>
            <w:r w:rsidR="00000000" w:rsidRPr="00000000" w:rsidDel="00000000">
              <w:rPr>
                <w:i w:val="1"/>
                <w:rtl w:val="0"/>
              </w:rPr>
              <w:t xml:space="preserve">Eiropas Parlamenta un Padomes 2024. gada 24. aprīļa Direktīvas (ES) Nr. 2024/1275 par ēku energosniegumu</w:t>
            </w:r>
            <w:r w:rsidR="00000000" w:rsidRPr="00000000" w:rsidDel="00000000">
              <w:rPr>
                <w:rtl w:val="0"/>
              </w:rPr>
              <w:t xml:space="preserve"> normu pārņemšanu nacionālajā tiesību sistēmā, jo īpaši, bet ne tikai - arī 10. panta 1., 2. punkta, 3. punkta "a", "c", "d" un "e" apakšpunkta, 4. punkta pirmās un otrās daļas un 5. punkta, 13. panta 3., 4., 6., 7., 9., 10. punkta un 12. punkta otrās daļas, 14. panta 1., 4., 6.-9.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detalizētāk (atsevišķi skaidrojot 13. panta 1. punkta daļas) atspoguļojot minētās direktīvas 13. panta 1. punkta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kādēļ ir vai nav izmantota minētās direktīvas rīcības brīvība, tostarp arī 10. panta 4. punkta trešajā daļā, 13. panta 1. punkta trešajā daļā, 2. punktā, 6. punkta ceturtajā daļā, 11. punkta otrajā daļā, 14. panta 2. punkta trešajā daļā, 3.,5. punktā u.c.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minētos jautājumus risinās direktīvas Nr. 2024/1275 transponēšanai sagatavotie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tas ir tehniski piemēroti, ekonomiski un funkcionāli īstenojami, tad nedzīvojamas ēkas tiek aprīkotas ar pašregulējošām ierīcēm gaisa temperatūras, relatīvā gaisa mitruma un gaisa apmaiņas (cirkulācijas) plūsmas ātruma atsevišķai regulēšanai katrā telpā (vides kvalitātes monitoringa sistēma) vai, ja tas ir pamatoti, telpu grupā, ja tiek mainīta ēkas apkures sistēmas daļa, kas ražo siltumenerģiju (siltumģenerators).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noteikumu projektu, nosakot atbildīgo subjektu, kura kompetencē būtu uzraudzīt un izvērtēt noteikumu projekta 1. punktā minēto prasību izpildi. Tāpat nepieciešams skaidri definēt institūciju, kas veiks pasākumu tehniskā, ekonomiskā un funkcionālā pamatojuma izvērtēšanu, kā arī noteikt pašvaldību tiesības lēmumu pieņemšanas procesā izmantot to energopārvaldības sistēmas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tālāka virzība ir pieļaujama tikai pēc visaptveroša izmaksu novērtējuma veikšanas un konkrētu finansēšanas mehānismu definēšanas. Anotācijā būtu precizējami finanšu avoti, kas nodrošinās izvirzīto prasību praktisku ieviešanu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esošā ēku fonda tehnisko stāvokli, piemēram, viencauruļu apkures sistēmu un novecojušu radiatoru īpatsvaru, universāla prasību piemērošana visām ēku grupām var nebūt prioritāra un ekonomiski pamatota. Ierosinām izvērtēt iespēju diferencēt prasības vai paredzēt izņēmumus gadījumos, kad tehnisko uzlabojumu veikšana nesniedz proporcionālu energoefektivitātes ieguvumu attiecībā pret nepieciešamajām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Punkts ir formulēts ar vairākiem nosacījumiem (“ja tas ir tehniski, ekonomiski un funkcionāli īstenojami”), kas praksē rada iespēju izvairīties no iekštelpu temperatūras regulēšanas ieviešanas. Turklāt vienā punktā apvienotas atšķirīgas ēkas sistēmas – apkure un ventilācija. Šim punktam ir jāpasaka, ka viencauruļu apkures sistēmas nav efektīvas un ir nepieciešama to nomaiņa pret efektīvākām. Tas ir izdevīgi iedzīvotājiem un ēku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iekštelpu temperatūras individuālu regulēšanu kā obligātu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ventilācijas gaisa apmaiņas regulēšanu izdalīt atsevišķā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terminoloģiju, aizstājot jēdzienu “pašregulējošas ierīces” ar tehnoloģiski precīzāku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Mainot siltuma ģeneratoru nekādi nesanāks to attiecināt uz pārējo ēku.  Gaisa temperatūru regulēt ir samērā vienkārši ar termoregulatoriem pie radiatoriem. Gaisa mitrināšanai ir vajadzīgas iekārtas. Arī gaisa daudzuma regulēšanai vajag papildus iekārtās un pārbūvēt ventilācijas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Ēkās nodrošina iekštelpu gaisa temperatūras regulēšanas iespēju katrā telpā vai telpu grupā, izmantojot automātiski vai attālināti vadāmas regulēšanas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prasību ieviešanas lietderību un tehnisko izpildījumu novērtē sertificēts būvspeciālists vai neatkarīgais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piemēroti, ekonomiski un funkcionāli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korespondējošā direktīvas norma paredz kā priekšnoteikumu attiecīgajai nodrošināšanai: "ja tas ir tehniski un ekonomiski iespējams", tādēļ lūdzam izvērtēt un nepieciešamības gadījumā noteikumu projekta anotācijā pamatot plašāka izņēmuma noteikšanu attiecībā uz minētajiem priekšnoteikumiem vai precizēt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piemēroti, ekonomiski un funkcionāli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ietvertā prasība nodrošināt automātisku apgaismojuma vadības ierīču uzstādīšanu nedzīvojamās ēkās ir definēta vispārīgi, neietverot izvērstu izvērtējumu par plānoto pasākumu izmaksu efektivitāti un faktisko enerģijas ietaupījumu dažādos ēku tipos. Bez šāda izvērtējuma nav iespējams objektīvi pamatot noteiktā regulējuma samērīgumu, lietderību un tā ietekmi uz dažādu kategoriju ēku īpašniekiem vai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Formulējums pieļauj interpretāciju par prasības nepiemērošanu, kā arī nav skaidri noteikts, kuros gadījumos prasība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w:t>
            </w:r>
            <w:r w:rsidR="00000000" w:rsidRPr="00000000" w:rsidDel="00000000">
              <w:rPr>
                <w:i w:val="1"/>
                <w:vertAlign w:val="superscript"/>
                <w:rtl w:val="0"/>
              </w:rPr>
              <w:t xml:space="preserve">1</w:t>
            </w:r>
            <w:r w:rsidR="00000000" w:rsidRPr="00000000" w:rsidDel="00000000">
              <w:rPr>
                <w:i w:val="1"/>
                <w:rtl w:val="0"/>
              </w:rPr>
              <w:t xml:space="preserve">. Uzstādot jaunus apgaismes ķermeņus vai nomainot esošos apgaismes ķermeņus pret jauniem, obligāti uzstāda automātiskas apgaismojuma vadības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Automātisku apgaismojuma vadības ierīču uzstādīšanas pamatotību nedzīvojamām ēkām novērtē sertificēts būvspeciālists vai neatkarīgais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loģika izmantota nosakot to, ka apgaismojuma vadības ierīču nepieciešamība tiek noteikta atkarībā no tā, kādas ēkā ir apkures, gaisa kondicionēšanas un ventilācijas sistēmas. Pagadiām spēkā esošā MK noteikumu versija paaredz, ka lielās ēkas ar 290 kilovatu apkures, gaisa dzesēšanas un ventilācijas sistēmu jaudu aprīko ar ēkas automatizācijas un vadības sistēmu. Ar grozījumiem sanāk tā, ka tagad ēkas automatizācijas un vadības sitēmu vietā ēkā vajadzēs apgaismojuma sistēmas vadību, kas ir ievērojami zemāka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Apgaismojuma vadības ierīces atbilstoši direktīvai Nr. 2024/1275 ir daļa no ēkas automatizācijas un vadības sistēmas, tāpēc tās ir saistītas ar apkures un ventilācijas ierīču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noteiktie termiņi nav sasaistīti ar finansējuma pieejamību un pašvaldību investīciju plānošanas cikliem. Prasību izpilde lielā mērā ir atkarīga no Eiropas Savienības fondu pieejamības, līdz ar to nepieciešama elastīgāka pieeja vai sasaistes mehānisms ar finansējuma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apgaismojuma vadības ierīces tiek saistītas ar apkures un ventilācijas ierīču jaudu? Ja tas attiecas uz apgaismojumu, tad tam būtu jābūt saistītam ar apgaismojuma ierīču jaudu. 70kW ir robeža, kad visām pašvaldības ēkām būs jāuzstāda vadības sistēmas. Jau ar vienu uzstādīt apgaismojuma vadība sistēmu ir pietiekoši daudz problēmu. Uzstādīšana ir dārga un ekspluatācijā vajag papildus datorprogrammu licences un uzturēt datoru, kas to sistēmu vada. Tas drīzāk rada zaudējumus nevis ietaupījumu nodokļu maksātājiem. Saprotu, ka tādas sistēmas prasa izbūvēt jaunbūvēm, kur tam var saskatīt ekonomisko pamatojumu kā muzejā vai lielveikalos.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papildināt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noteikto prasību izpildes termiņus vismaz par 3–5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ka tuvākajā periodā (piemēram, no 2027. gada) pilnā apjomā prasības attiecas tikai uz jaunbūvēm;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pakāpenisku ieviešanas grafiku, prioritāri uzlabojot ēkas ar zemāko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valsts līdzfinansējumu, izveidot mērķētas programmas Eiropas Savienības fondu ietvaros, kur pašvaldībām būtu iespējams apgūt finansējumu šo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Nr. 2024/1275. Dalībvalstīm nav paredzēta rīcības brīvība mainīt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Apgaismojuma vadības ierīces tiek saistītas ar apkures un ventilācijas ierīču jaudu, jo tās ir daļa no ēkas automatizācijas un vadības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Publiskās personas iestādes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pirms šādu prasību noteikšanas nepieciešams veikt publisko ēku enerģijas patēriņa analīzi un prioritizāciju, nosakot: (1) ēkas ar augstāko enerģijas patēriņu, (2) ēkas ar zemāko energoefektivitāti, (3) ēkas ar lielāko lietotāju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pašvaldības ar ieviestu energopārvaldības sistēmu šobrīd jau veic šādu analīzi un plāno pasākumus, tādēļ lūdzam nodrošināt, ka regulējums ir saskaņots ar energopārvaldības sistēmu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daudzās ēkās energoefektivitātes pasākumi jau ir veikti, un papildu investīcijas (piemēram, saules paneļi) ne vienmēr ir ekonomiski pamatotas, kā arī nepieciešams izvērtēt kultūrvēsturisko ēku aizsardzības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problēma var izrādīties jumta nestspēja un plakano jumtu siltinājums un, lai pierādītu ekonomisko (ne)pamatojumu, būvkonstruktoram ir jāveic nestspējas aprēķini, kas arī ir maksas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apsvērt, vai būtu jādefinē jēdziens “saules enerģijas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minētos jautājumus risinās direktīvas Nr. 2024/1275 transponēšanai izstrādātais Ēku atjaunošanas plāns un sagatavotie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publiskās personas iestādes ēkās nodrošināt piemērotu saules enerģijas iekārtu uzstādīšanu izpilda līdz 2027. gada 31. decembrim attiecībā uz ēkām, kuru lietderīgā grīdas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lietderīgā grīdas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lietderīgā grīdas platība pārsniedz 250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MK noteikumu grozījumu autori saprot ar terminu "piemērota saules enerģijas iekārta". Šāds termins ir ļoti plaši interpretējams un obligāti nepieciešama precīza šī termina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 jautājumu risinās direktīvas Nr. 2024/1275 transponēšanai sagatavotie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publiskās personas iestādes ēkās nodrošināt piemērotu saules enerģijas iekārtu uzstādīšanu izpilda līdz 2027. gada 31. decembrim attiecībā uz ēkām, kuru lietderīgā grīdas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lietderīgā grīdas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lietderīgā grīdas platība pārsniedz 250 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norādītās redakcijas, secinām, ka prasību ieviešanas pieeja balstīta uz ēku platību, nevis energoefektivitātes prioritātēm. Lūdzam apsvērt pāreju uz pieeju, kur primāri tiek identificētas neefektīvākās ēkas un investīcijas tiek koncentrētas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pašvaldībās ar ieviestu energopārvaldības sistēmu jau ir noteikti investīciju plāni, kas būtu ņemami vērā, paredzot izņēmumus vai elastību šo prasību piemērošanā. Tāpēc lūdzam grozījumos ietvert nosacījumu, ka uz pašvaldībām, kurās ir ieviesta energopārvaldības sistēma, šo noteikumu grozījumos ietvertās prasības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ierosinām visās pašvaldībās veikt visu pašvaldību iestāžu ēku revīziju, nosakot pašvaldības iestāžu ēku vidējo īpatnējo siltumenerģijas (ar laikapstākļu korekciju) un elektroenerģijas patēriņu, prasību ieviešanai liekot uzsvaru uz objektiem, kuros tas ir acīmredzami nepieciešams un ekonomiski pamatoti veikt energoefektivitātes paaugstināšanas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10.1. un 10.2. apakšpunktiem kopumā - prasības nav izpildāmas noteiktajos termiņos, nav ņemti vērā kultūrvēsturisko ēku ierobežojumi, nav skaidri definēti kritēriji “ekonomiskai pamatotībai”.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apvienot punktus un noteikt vienotu, reālistisku termiņu. Paredzēt izņēmumus vēsturiskām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apvienotā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Publiskās personas iestāžu ēkās, izņemot kultūrvēsturiskos objektus, nodrošina piemērotu saules enerģijas iekārtu uzstādīšanu vai ēkas sagatavošanu saules enerģijas iekārtu uzstādīšanai (solar‑ready), ja tas ir tehniski un funkcionāli iespējams. Prasību izpilda līdz 2031.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Nr. 2024/1275. Dalībvalstīm nav paredzēta rīcības brīvība mainīt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ēka ir kultūrvēsturiskais objekts, tad projekta 10.</w:t>
            </w:r>
            <w:r w:rsidR="00000000" w:rsidRPr="00000000" w:rsidDel="00000000">
              <w:rPr>
                <w:vertAlign w:val="superscript"/>
                <w:rtl w:val="0"/>
              </w:rPr>
              <w:t xml:space="preserve">1</w:t>
            </w:r>
            <w:r w:rsidR="00000000" w:rsidRPr="00000000" w:rsidDel="00000000">
              <w:rPr>
                <w:rtl w:val="0"/>
              </w:rPr>
              <w:t xml:space="preserve"> punktā noteiktās prasības uz to nav attiecināmas atbilstoši Ēku energoefektivitātes likuma 3.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pienākumu publiskā sektora subjekta ēkās nodrošināt piemērotu saules enerģijas iekārtu uzstādīšanu izpilda līdz 2027. gada 31. decembrim attiecībā uz ēkām, kuru kopējā platība pārsniedz 2000 m</w:t>
            </w:r>
            <w:r w:rsidR="00000000" w:rsidRPr="00000000" w:rsidDel="00000000">
              <w:rPr>
                <w:vertAlign w:val="superscript"/>
                <w:rtl w:val="0"/>
              </w:rPr>
              <w:t xml:space="preserve">2</w:t>
            </w:r>
            <w:r w:rsidR="00000000" w:rsidRPr="00000000" w:rsidDel="00000000">
              <w:rPr>
                <w:rtl w:val="0"/>
              </w:rPr>
              <w:t xml:space="preserve">, līdz 2028. gada 31. decembrim – attiecībā uz ēkām, kuru kopējā platība pārsniedz 750 m</w:t>
            </w:r>
            <w:r w:rsidR="00000000" w:rsidRPr="00000000" w:rsidDel="00000000">
              <w:rPr>
                <w:vertAlign w:val="superscript"/>
                <w:rtl w:val="0"/>
              </w:rPr>
              <w:t xml:space="preserve">2</w:t>
            </w:r>
            <w:r w:rsidR="00000000" w:rsidRPr="00000000" w:rsidDel="00000000">
              <w:rPr>
                <w:rtl w:val="0"/>
              </w:rPr>
              <w:t xml:space="preserve">, un līdz 2030. gada 31. decembrim – attiecībā uz ēkām, kuru kopējā platība pārsniedz 250 m</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Ēkas automatizācijas un vadības sistēma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grozījumos tiek piedāvāts izņemt ārā prasību uzstādīt ēkas automatizācijas un vadības sistēmu uzstādīšanas nepieciešamību un to piedāvā aizstāt ar apgaismojuma vadības sistēmu. Attiecīgi tagad 11.punkts būtu arī aizstājams ar apgaismojuma vadības sistēmas aprakstu. Kāda jēga atstāt aprakstu par to, kas ir ēkas automatizācijas un vadības sistēma, ja nekur citur grozītajos noteikumos šāds termins netiek lietots un prasība uzstādīt šādas sistēmas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ir grozīts, lai pārņemtu tam saistošās direktīvas Nr. 2024/1275 prasības par automātisku apgaismojuma vadības ierīču uzstādīšanu noteiktajās ēkās, kā rezultātā noteikumos ir ieviests jauns 9.</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ēkas automatizācijas un vadības sistēmas esamību, kuras prasības ir noteiktas minētajā 11. punktā, ir noteikta noteikumu projekta 9.punktā, un tagad ir papildināta ar prasību par vides kvalitātes monitoringa sistēmu. Norādām, ka norma par ēkas automatizācijas un vadības sistēmu ekspluatācijā nodotai nedzīvojamai ēkai, kuras lietderīgā nominālā jauda apkures sistēmas vai apvienotas apkures un ventilācijas sistēmas vajadzībām vai arī gaisa kondicionēšanas sistēmas vai apvienotas gaisa kondicionēšanas un ventilācijas sistēmas vajadzībām pārsniedz 290 kilovatus, bija jāievieš līdz 2025.gada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Ēkas automatizācijas un vadības sistēma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(Lidl Latvija SIA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dalībvalstīm ir noteikts pienākums transponēt Eiropas Parlamenta un Padomes Direktīvu (ES) 2024/1275 par ēku energosniegumu (turpmāk – EPBD) un paralēli šo noteikumu projekta izstrādei tiek izstrādāti arī grozījumi Ministru kabineta 2021. gada 19. oktobra noteikumos Nr. 693 "Būvju vispārīgo prasību būvnormatīvs LBN 200-21" (25-TA-1187), mūsu ieskatā EPBD transponēšanā būtu ievērojama konsekventa pieeja, saskaņojot noteikumos ietvertās prasības, kas būtu attiecināmas gan uz būvniecības procesu, gan uz esošajām ēkām. Konsekventa pieeja nodrošinātu tiesiskās noteiktības principa ievērošanu attiecībā uz tiesību normām par ēku energoefektivitāti. Ņemot vērā minēto, ierosinām iekļaut šo noteikumu projektā arī esošajām ēkām tādus pašus izņēmumus, kādi ir paredzēti būvniecības procesā, attiecīgi papildinot šo noteikumu projektu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12.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Šo noteikumu 12.2. apakšpunktā noteiktās prasības par velosipēdu stāvvietu skaitu var koriģēt ar būvspeciālista pamatojumu, to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12.1. apakšpunktā minēto uzlādes punktu skaitu var samazināt uzstādot vienu vai vairākus lieljaudas uzlādes punktus, vienlaikus nodrošinot, ka attiecīgajā vietā visu uzlādes punktu jaudu summa sakrīt vai pārsniedz jaudu, kādu nodrošinātu 12.1.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 pastāv kopējā tīkla ierobežojumi vai ir grūti prognozēt ar iepriekš ierīkotu kabeļu ierīkošanu saistītās tālākās faktiskās vajadzības, tad šo noteikumu 12.1. apakšpunktā minēto kabeļu iepriekšēju ierīkošanu pieļaujams aizstāt ar kabeļkanāliem ar ievilcējvadu, kabeļrenēm iekštelpu autostāvvietās un zonās bez cietā seguma un uzlādes punktu balstiem āra autostāvvietās.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piedāvātajiem punktiem, ciktāl tie ir attiecināmi uz ekspluatācijā nodotām ēkām ar stāvvietām ēkas iekšējā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vienu elektrotransportlīdzekļu uzlādes punktu uz 10 autostāvvietām vai ierīko kabeļkanālus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uzstādīt tukšus kabeļkanālus, kurus nekad iespējams nelietos, ir ļoti nesaprotama. Šīs prasības izpilde var būt ļoti dārga un nepamatota.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prasības piemērošanas izņēmuma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vienu elektrotransportlīdzekļu uzlādes punktu uz 10 autostāvvietām vai ierīko kabeļkanālus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15 % no ēkas vidējās lietotāju kapacitātes vai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skadri saprotams, kas ir "ēkas vidējā lietotāju kapacitāte" un "kopējā lietotāju kapacitāte".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"kopējā lietotāju kapacitāte" skaidrojumu. Norma pielāgota arī sagatavoto grozījumu Ministru kabineta 2021. gada 19. oktobra noteikumos Nr. 693 "Būvju vispārīgo prasību būvnormatīvs LBN 200-21"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Līdz 2033. gada 1. janvārim nedzīvojamā ēkā, kas ir publiskās personas iestādes īpašumā,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ir prasība ierīkot kabeļus vai kabeļkanālus, ja nav prasības ierīkot uzlādes vietas. Tas principā nozīmē, ka obligāti jāizterē finansējums, kas pēc tam var arī tikt lietderīgi neizmantots, ja netiek uzstādītas pašas elektroauto uzlādes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12.punkta prasības piemērošanas izņēmuma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Individuāliem skaitītājiem, kas mēra mājsaimniecības karstā ūdens patēriņu katrā ēkas vienībā, kas ir uzstādīti pirms 2025. gada 12. oktobra un nav attālināti nolasāmi, līdz 2027. gada 1. janvārim nodrošina attālinātu nolasāmību vai tos aizstāj ar attālināti nolasāmiem, ja tas ir ekonomiski 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prasību tam atvēlētajā termiņā nav iespējams izdarīt. Pēc kādas metodikas jānosaka, vai šī pasākuma veikšana ir ekonomiski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Nr. 2024/1275. Dalībvalstīm nav paredzēta rīcības brīvība mainīt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ekonomisko pamatotību novērtē sertificēts būvspeciālists vai neatkarīgais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Individuāliem skaitītājiem, kas mēra mājsaimniecības karstā ūdens patēriņu katrā ēkas vienībā, kas ir uzstādīti pirms 2025. gada 12. oktobra un nav attālināti nolasāmi, līdz 2027. gada 1. janvārim nodrošina attālinātu nolasāmību vai tos aizstāj ar attālināti nolasāmiem, ja tas ir ekonomiski pamatoti.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Ēku energoefektivitātes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pret 12 punktu LPS uzsver, ka Direktīvas pārņemšanai Latvijā jānotiek, ievērojot subsidiaritātes un samērīguma principus, neieviešot stingrākas prasības nekā Direktīva to prasa.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2024/1275 prasības pārņemšanai stingrāki nosacījumi nav noteikti.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10. decembra noteikumos Nr. 730 "Ekspluatējamu ēku energoefektivitātes minimālās prasības" (Latvijas Vēstnesis, 2020, 242. nr.; 2025, 22.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Papildināt ar 10.</w:t>
            </w:r>
            <w:r w:rsidR="00000000" w:rsidRPr="00000000" w:rsidDel="00000000">
              <w:rPr>
                <w:i w:val="1"/>
                <w:vertAlign w:val="superscript"/>
                <w:rtl w:val="0"/>
              </w:rPr>
              <w:t xml:space="preserve">1 </w:t>
            </w:r>
            <w:r w:rsidR="00000000" w:rsidRPr="00000000" w:rsidDel="00000000">
              <w:rPr>
                <w:i w:val="1"/>
                <w:rtl w:val="0"/>
              </w:rPr>
              <w:t xml:space="preserve">punktu šādā redakcijā:</w:t>
            </w:r>
            <w:r w:rsidR="00000000" w:rsidRPr="00000000" w:rsidDel="00000000">
              <w:rPr>
                <w:i w:val="1"/>
                <w:rtl w:val="0"/>
              </w:rPr>
              <w:t xml:space="preserve">"10.1 Publiskās personas iestādes ēkās nodrošina piemērotu saules enerģijas iekārtu uzstādīšanu, ja tas ir tehniski piemēroti, ekonomiski un funkcionāli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un vienlīdzīgu attieksmi, attiecībā uz saules enerģijas iekārtu uzstādīšanu publiskās personas iestādes ēkās nepieciešams attiecināt tādus pašus izņēmumus, kādi paredzēti saskaņošanas stadijā esošajā tiesību aktu projektā “Grozījumi Ministru kabineta 2021. gada 19. oktobra noteikumos Nr. 693 “Būvju vispārīgo prasību būvnormatīvs LBN 200-21” (tiesību akta lieta 25-TA-1187), kuru 1.6. apakšpunktā ietvertais noteikumu 130.</w:t>
            </w:r>
            <w:r w:rsidR="00000000" w:rsidRPr="00000000" w:rsidDel="00000000">
              <w:rPr>
                <w:vertAlign w:val="superscript"/>
                <w:rtl w:val="0"/>
              </w:rPr>
              <w:t xml:space="preserve">20</w:t>
            </w:r>
            <w:r w:rsidR="00000000" w:rsidRPr="00000000" w:rsidDel="00000000">
              <w:rPr>
                <w:rtl w:val="0"/>
              </w:rPr>
              <w:t xml:space="preserve"> punkts paredz daudz plašākus izņēmumus, kad prasību par saules enerģijas sistēmu uzstādīšanu nepiemēro.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10.</w:t>
            </w:r>
            <w:r w:rsidR="00000000" w:rsidRPr="00000000" w:rsidDel="00000000">
              <w:rPr>
                <w:vertAlign w:val="superscript"/>
                <w:rtl w:val="0"/>
              </w:rPr>
              <w:t xml:space="preserve">3</w:t>
            </w:r>
            <w:r w:rsidR="00000000" w:rsidRPr="00000000" w:rsidDel="00000000">
              <w:rPr>
                <w:rtl w:val="0"/>
              </w:rPr>
              <w:t xml:space="preserve"> punktu par atkāpēm no prasības piemērošanas. Nosacījumi attiecībā uz  saules enerģijas iekārtu uzstādīšanas tehnisku piemērotību, ekonomisku un funkcionālu īstenošanu būs noteikti grozījumos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tiesiskais regulējums ietekmē fiziskās un juridiskas personas, aicinām veikt novērtējumu anotācijas sadaļās 2.4. Administratīvā sloga novērtējums fiziskām personām un 2.5. Atbilstības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publiskās personas iestāde šo noteikumu izpratnē ir valsts, reģionālās vai vietējās iestādes un subjekti, ko minētā iestāde tieši finansē un pārvalda, bet kam nav rūpnieciska vai komerciāla rakstura. Saistībā ar minēto vēršam uzmanību, ka termins "publiskas personas iestāde" lietots (termini "publiskas personas" un "iestāde" skaidroti šajā likumā) Valsts pārvaldes iekārtas likumā, par ko nav gūstama pārliecība, ka noteikumu projekta anotācijā minētajam terminam būtu atbilstošs tvērums. Ievērojot minēto, lai izslēgtu interpretācijas iespējas attiecībā uz termina "publiskas personas iestādes" tvērumu un, ievērojot to, ka anotācijā sniegtajai informācijai nav juridiski saistoša spēka, aicinām noteikumu projektā, ja tas nepieciešams un atbilst Energoefektivitātes likumā noteiktajam, precīzāk noteikt, uz kādiem konkrēti subjektiem attiecināmas noteikumu projekta prasības, izmantojot Valsts pārvaldes iekārtas likumā un, ja attiecināms, citos likumos (piem., Publiskas personas kapitāla daļu un kapitālsabiedrību pārvaldības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tā anotācija, lietojot terminu "publiskā sektora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norādīto anotācijas apakšnodaļu, ņemot vērā finansiālo ietekmi uz fiziskām un juridiskām personām, ko šis tiesību akta projekts radīs. Šobrīd ietekmes aprakstā vispār netiek apskatītas finansiālās ietekmes galvenās pozīcijas attiecībā uz fiziskām un juridiskām personām. Piemēram skatīt tiesību akta lietas 25-TA-1187 attiecīgo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 jaunu punktu – fosilā kurināmā apkures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Direktīva (ES) 2024/1275 paredz pakāpenisku fosilā kurināmā apkures iekārtu izskaušanu un jau no 2025. gada aizliedz to stimulēšanu.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“Sākot ar 2029. gada 31. decembri, aizliegta jaunu fosilā kurināmā apkures un karstā ūdens sagatavošanas katlu uzstādīšana visos ēku tipos, izņemot gadījumus, ja tiek nodrošināts pārejas risinājums saskaņā ar nacionālo enerģētikas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ir ārpus direktīvas Nr. 2024/1275 tvēruma - tā nenosaka šādu ierobežojumu esošām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 jaunu punktu par “solar‑ready”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“Atjaunojot ēkas jumta segumu, nodrošina ēkas sagatavošanu saules enerģijas iekārtu uzstādīšanai, paredzot nesošās konstrukcijas, montāžas punktus un kabeļu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projekta tvērumā, jo piedāvātā norma ir projektēšanas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noteikumu projektu ar atsauci uz Direktīvu (ES) 2024/1275, nodrošinot normatīvā regulējuma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Skaidrs, konsekvents un tehniski pamatots regulējums ir būtisks priekšnoteikums ēku fonda dekarbonizācijas mērķu sasniegšanai līdz 2050.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informatīvās atsauces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Ekspluatējamu ēku energoefektivitātes minimālās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tas ir tehniski piemēroti, ekonomiski un funkcionāli īstenojami, tad nedzīvojamas ēkas tiek aprīkotas ar pašregulējošām ierīcēm gaisa temperatūras, relatīvā gaisa mitruma un gaisa apmaiņas (cirkulācijas) plūsmas ātruma atsevišķai regulēšanai katrā telpā (vides kvalitātes monitoringa sistēma) vai, ja tas ir pamatoti, telpu grupā, ja tiek mainīta ēkas apkures sistēmas daļa, kas ražo siltumenerģiju (siltumģenerators).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šī punkta redakcija nav labi saprotama. Pagaidām spēkā esošā 9.punkta redakcija skaidri atrunā, ka jāuzstāda telpu gaisa temperatūras regulēšanas ierīces tām telpām, kur tiek mainīta apkures sistēmas daļa, kas ražo siltumenerģiju. Šajos grozījumos piedāvātajā 9.punkta redakcijā var interpretēt, ka telpu grupā, kur tiek mainīta tā apkures sistēmas daļa, kas ražo siltumenerģiju, ir jāuzstāda gan telpu gaisa temperatūras, gan telpu gaisa relatīvā mitrums, gan gaisa apmaiņas plūsmas ātruma regulēšanas ierīces, kas pēc būtības nav loģiski.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ēkas aprīkot ar relatīvā gaisa mitruma un gaisa apmaiņas plūsmas ātruma regulēšanas iekārtām praktiski varēs tikai veicot jaunbūvju izbūvi, bet esošās ēkās tas ir ļoti sarežģīti.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Lietotais termins "ekonomiski un funkcionāli īstenojami" ir dažādi interpretējams un nav viennozīmīgi saprotams. Nepieciešams skaidri noteikt, ko nozīmē "ekonomiski īstenojams". Kāda ir izmantojamā ekonomiskā pamatojuma aprēķina metodika un aprēķinu ievaddatu vērtības (piemēram, aprēķina perioda ilgums).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pārformulēts ērtākai uztveramībai.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Veicamo darbību pamatotību un lietderību novērtē sertificēts būvspeciālists vai neatkarīgais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piemēroti, ekonomiski un funkcionāli īstenojami, nodrošina automātisku apgaismojuma vadības ierīču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Energoauditoru asociācija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definēt, kā var noteikt vai pasākumu īstenošana ekonomiski un funkcionāli īstenojami.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ar norādi, ka jauno prasību ieviešanas lietderības novērtēšana ir sertificēta būvspeciālista vai neatkarīga eksperta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Nedzīvojamām ēkām, ja tas ir tehniski un ekonomiski īstenojami, nodrošina automātisku apgaismojuma vadības ierīču uzstādīšanu.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Publiskās personas iestādes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vienotu terminu - "publiskā sektora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Publiskās personas iestādes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aicinām iekļaut detalizētu skaidrojumu un papildināt - kas var veikt un kā veicams novērtējums par tehnisko piemērotību, ekonomisko un funkcionālo īstenojamību.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par sertificēta būvspeciālista un neatkarīga eksperta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tiešsaisti ar ēkas inženiertehnisko sistēmu un spēju veikt funkcijas neatkarīgi no inženiertehniskās sistēmas sastāvdaļu ražotāja;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definēta nodrošināmā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“11.3. savietojamību ar ēkas inženiertehniskajām sistēmām, izmantojot atvērtus komunikācijas protokolus un nodrošinot neatkarību no konkrēta iekārtu ražotāja.”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11.3. apakšpunkts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savietojamību ar ēkas inženiertehniskajām sistēmām, izmantojot atvērtus komunikācijas protokolus un nodrošinot neatkarību no konkrēta iekārtu ražotāja;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iekštelpu vides kvalitātes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“11.4. iekštelpu vides kvalitātes monitoringu, nodrošinot vismaz gaisa temperatūras, relatīvā mitruma, CO₂ koncentrācijas un, ja piemērojams, gaistošo organisko savienojumu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iekštelpu vides kvalitātes monitoringu, nodrošinot vismaz gaisa temperatūras, relatīvā mitruma un CO</w:t>
            </w:r>
            <w:r w:rsidR="00000000" w:rsidRPr="00000000" w:rsidDel="00000000">
              <w:rPr>
                <w:vertAlign w:val="subscript"/>
                <w:rtl w:val="0"/>
              </w:rPr>
              <w:t xml:space="preserve">2</w:t>
            </w:r>
            <w:r w:rsidR="00000000" w:rsidRPr="00000000" w:rsidDel="00000000">
              <w:rPr>
                <w:rtl w:val="0"/>
              </w:rPr>
              <w:t xml:space="preserve"> koncentrācijas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pieļauj uzlādes punktu faktisku neuzstādīšanu, kā arī neņem vērā ēku funkcionālo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skaidri nodalīt uzlādes punktus un kabeļu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velosipēdu stāvvietu skaitu noteikt elastīgi.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noteikto prasību izpildes termiņus vismaz par 3–5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ka tuvākajā periodā (piemēram, no 2027. gada) pilnā apjomā prasības attiecas tikai uz jaunbūvēm;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pakāpenisku ieviešanas grafiku, prioritāri uzlabojot ēkas ar zemāko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valsts līdzfinansējumu, izveidot mērķētas programmas Eiropas Savienības fondu ietvaros, kur pašvaldībām būtu iespējams apgūt finansējumu šo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Nr. 2024/1275. Dalībvalstīm nav paredzēta rīcības brīvība mainīt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15 % no ēkas vidējās lietotāju kapacitātes vai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būtu jāprecizē, jo pie skolām vajag vismaz 50% skolnieku kur pieslēgt velosipēdu. Pie administratīvajām ēkām 10% jau izskatās par daudz.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ēku tipus, uz kuriem veloinfrastruktūras prasības neattiecas, un novērst normu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izņēmumus 12.punkta piemērošanai saskaņoti ar ar tiesību aktu projektā “Grozījumi Ministru kabineta 2021. gada 19. oktobra noteikumos Nr. 693 “Būvju vispārīgo prasību būvnormatīvs LBN 200-21” veiktajiem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 ir noteikta direktīvā Nr. 2024/1275, un nav grozāma.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 prasība par vietu skaitu velosipēdu stāvvietā neattiecas uz tām nedzīvojamām ēkām, kurām parasti ar velosipēdu nepiekļūst.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iesakām noteikumu projekta anotācijā skaidrot (nepieciešamības gadījumā - piemērveidā), kādām nedzīvojamām ēkām parasti ar velosipēdu nepiekļūst. Vienlaikus vēršam uzmanību, ka korespondējošajā direktīvas vienībā norādīts, ka dalībvalsts var noteikt attiecīgu ēku </w:t>
            </w:r>
            <w:r w:rsidR="00000000" w:rsidRPr="00000000" w:rsidDel="00000000">
              <w:rPr>
                <w:u w:val="single"/>
                <w:rtl w:val="0"/>
              </w:rPr>
              <w:t xml:space="preserve">kategorijas</w:t>
            </w:r>
            <w:r w:rsidR="00000000" w:rsidRPr="00000000" w:rsidDel="00000000">
              <w:rPr>
                <w:rtl w:val="0"/>
              </w:rPr>
              <w:t xml:space="preserve">, tādēļ lūdzam arī izvērtēt, vai noteikumu projektā nav jānorāda konkrētu veidu kategorijas, ja tas ir iespējams un pamatoti, tādējādi arī atvieglojot konkrētās noteikumu projekta normas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izņēmumus 12.2. apakšpunkta piemērošanai saskaņoti ar ar tiesību aktu projektā “Grozījumi Ministru kabineta 2021. gada 19. oktobra noteikumos Nr. 693 “Būvju vispārīgo prasību būvnormatīvs LBN 200-21” veiktajiem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Līdz 2033. gada 1. janvārim nedzīvojamā ēkā, kas ir publiskās personas iestādes īpašumā,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likumam publiskas personas manta atrodas iestādes valdījumā, attiecīgi arī nedzīvojamās ēkas ir publiskas personas īpašums, bet iestādei tās ir valdījumā, tādēļ lūdzam atbilstoši precizēt noteikumu projekta 10. punktu un nepieciešamības gadījumā - arī citas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Līdz 2033. gada 1. janvārim nedzīvojamā ēkā, kas ir publiskā sektora subjekta valdījumā, ierīko kabeļus vismaz 50 % automašīnu stāvvietām.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Individuālajiem siltuma maksas sadalītājiem un individuālajiem siltumenerģijas patēriņa skaitītājiem, kas uzstādīti pirms 2021. gada 1. janvāra un nav attālināti nolasāmi, līdz 2027. gada 1. janvārim nodrošina attālinātu nolasāmību vai tos aizstāj ar attālināti nolasāmiem individuāliem siltuma maksas sadalītājiem, individuāliem siltumenerģijas patēriņa skaitītājiem vai siltumenerģijas patēriņa noteikšanas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noteikto prasību izpildes termiņus vismaz par 3–5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ka tuvākajā periodā (piemēram, no 2027. gada) pilnā apjomā prasības attiecas tikai uz jaunbūvēm;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pakāpenisku ieviešanas grafiku, prioritāri uzlabojot ēkas ar zemāko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valsts līdzfinansējumu, izveidot mērķētas programmas Eiropas Savienības fondu ietvaros, kur pašvaldībām būtu iespējams apgūt finansējumu šo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Nr. 2024/1275. Dalībvalstīm nav paredzēta rīcības brīvība mainīt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dotā prasība ir spēkā kopš 2020.gada 16.decembra.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Individuālajiem siltuma maksas sadalītājiem un individuālajiem siltumenerģijas patēriņa skaitītājiem, kas uzstādīti pirms 2021. gada 1. janvāra un nav attālināti nolasāmi, līdz 2027. gada 1. janvārim nodrošina attālinātu nolasāmību vai tos aizstāj ar attālināti nolasāmiem individuāliem siltuma maksas sadalītājiem, individuāliem siltumenerģijas patēriņa skaitītājiem vai siltumenerģijas patēriņa noteikšanas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26-TA-329</w:t>
    </w:r>
    <w:r>
      <w:br/>
    </w:r>
    <w:r w:rsidR="00000000" w:rsidRPr="00000000" w:rsidDel="00000000">
      <w:rPr>
        <w:rtl w:val="0"/>
      </w:rPr>
      <w:t xml:space="preserve">20.07.2026. 13.32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26-TA-329</w:t>
    </w:r>
    <w:r>
      <w:br/>
    </w:r>
    <w:r w:rsidR="00000000" w:rsidRPr="00000000" w:rsidDel="00000000">
      <w:rPr>
        <w:rtl w:val="0"/>
      </w:rPr>
      <w:t xml:space="preserve">20.07.2026. 13.32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Izziņa_26-TA-329.docx</dc:title>
</cp:coreProperties>
</file>

<file path=docProps/custom.xml><?xml version="1.0" encoding="utf-8"?>
<Properties xmlns="http://schemas.openxmlformats.org/officeDocument/2006/custom-properties" xmlns:vt="http://schemas.openxmlformats.org/officeDocument/2006/docPropsVTypes"/>
</file>