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izvērtēt projekta pases 5.1.1. sadaļā norādīto vērtību “apmēram, 150”. Skaidrojam, ka šī vērtība tiek noteikta kā projektā sasniedzamais rādītājs. Lūgums izkļaut vārdu “apmēram” un racionāli izvērtēt, vai šī vērtība ir sasniedzama pilnā apjomā atbilstoši 04.06.2024. Noteikumu Nr.338 prasībām un noteiktajam termiņam.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 pasei iztrūkst 5.2., 5.3. un 5.4. sadaļas. Vēršam uzmanību, ka ir atbalstāms, ka netiek attēlotas visas sadaļas, bet skaidrojam, ka 5.2. sadaļā ir jāattēlo IKT risinājumi, kas saskaņoti ar VARAM 05.10.2024. vēstuli Nr. 11-1/5955, ņemot vērā, ka tajos atspoguļojas projekta ietekme uz  04.06.2024. Noteikumu Nr.338[1] 12.1.1. un 12.2. apakšpunktā minēto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https://www.vestnesis.lv/op/2024/109.5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prpjekta pases 5.2.punkts.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un anotācijā norādīts, ka pēc portāla latvija.gov.lv ietvara maiņas e-pakalpojums iesniegumu par A1 sertifikāta izsniegšanu aizstāts ar e-formu, kuras funkcionalitāte ir ierobežota. Norādīts arī, ka Eiropas Parlamenta un Padomes 2018. gada 2. oktobra regulas (ES) 2018/1724, ar ko izveido vienotu digitālo vārteju, lai sniegtu piekļuvi informācijai, procedūrām un atlīdzības un problēmu risināšanas pakalpojumiem, un ar ko groza Regulu (ES) Nr.1024/2012 (turpmāk – regula 2018/1724) 6. panta 1. punktā noteiktās prasības par pakalpojumu pieejamību tiešsaistē bija jāievieš līdz 2023. gada 12. decembrim, taču e-forma šīs prasības pilnībā neizpilda.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2018/1724 6. panta 1. punktā noteikts, ka dalībvalstīm jānodrošina lietotājiem iespēja piekļūt II pielikumā uzskaitītajām procedūrām un tās pilnībā izpildīt tiešsaistē, ja attiecīgās procedūras ir izveidotas.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pielikumā un anotācijā nav skaidrots, kuras konkrētās regulas prasības e-forma nenodrošina. Līdz ar to lūdzam precizēt rīkojuma pielikumu un anotāciju, skaidri norādot, kuras regulas 2018/1724 prasības nav izpildītas, sniegt detalizētu pamatojumu par neatbilstību un norādīt risinājumus tās novēršanai, lai izvairītos no pārkāpuma procedūras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saskaņojamo dokumentu kopumam nav pievienota projekta pase, tad nav iespējams izvērtēt, cik lielā mērā ir iesaistītas un vai uz pašvaldībām attiecas procesa izstrāde kritisko pakalpojumu piešķiršanai un izmaksai noteiktām iedzīvotāju grupām valsts apdraudējuma gadījumā, kad nav iespējams nodrošināt iedzīvotājiem valsts garantēto finansiālo atbalstu saskaņā ar spēkā esošo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projekta pase ir skatāma rīkojuma projektā kā pielikuma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ar procesa izstrādi kritisko pakalpojumu piešķiršanai un izmaksai plānots nodrošināt Valsts sociālās apdrošināšanas aģentūras funkciju izpildi izņēmuma stāvokļa gadījumā un procesa mijiedarbība ar pašvaldībām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“VSAA pakalpojumu (KP) pieejamība un A1 sertifikāti” (turpmāk – projekts) pasi (pielikums) un projekta izmaksas 473 000 </w:t>
            </w:r>
            <w:r w:rsidR="00000000" w:rsidRPr="00000000" w:rsidDel="00000000">
              <w:rPr>
                <w:i w:val="1"/>
                <w:rtl w:val="0"/>
              </w:rPr>
              <w:t xml:space="preserve">euro</w:t>
            </w:r>
            <w:r w:rsidR="00000000" w:rsidRPr="00000000" w:rsidDel="00000000">
              <w:rPr>
                <w:rtl w:val="0"/>
              </w:rPr>
              <w:t xml:space="preserve">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pases projektā sniegtajai informācijai projekta finansēšanai kopā paredzēti 473 000 euro, tai skaitā ERAF finansējums 402 050 euro un valsts budžeta finansējums 70 950 euro. Lūdzam atbilstoši precizēt rīkojuma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“VSAA pakalpojumu pieejamība un A1 sertifikāti” (turpmāk – projekts) pasi (pielikums) un projekta izmaksas 473 000 euro apmērā (tai skaitā ERAF finansējums 402 050 euro un valsts budžeta finansējums 70 950 euro)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projekta pases 6.sadaļā iekļaut norādi, vai piemaksas plānotas no projekta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plānotajām piemaksām teikts projekta pases 7.sadaļā, kura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kā arī anotācijā norādīts, ka projekts tiks īstenots 12 mēnešus, no 2025. gada 1. janvāra līdz 2025. gada 31. decembrim. Ņemot vērā tiesību akta projekta skaņošanas un apstiprināšanas procesam nepieciešamo laiku, pēc kura nepieciešams laiks projekta iesnieguma izstrādei un iesniegšanai, kā arī tā vērtēšanai, aicinām pārskatīt norādīto projekta īstenošanas laiku, kā arī secīgi periodu un izmaksas, kas plānotas uzturēšanai pēc projekta īstenošanas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minēts projekta ilgums – 12 mēneši, kas paliek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Aktualizētais projekta norises laiks labots anotācijas 3.sadaļas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pases projekta 7. sadaļā "Cita būtiska informācija" iekļauto informāciju, ka projekta realizācijas uzsākšanai nav jāveic jauns informācijas sistēmu izstrādes pakalpojuma sniedzēju iepirkums, jo izstrādes darbus pasūtīs esošo sistēmu uzturēšanas un attīstības līgumu ietvaros, lai izvairītos no nekorektas interpretācijas riskiem, lūdzam papildināt pases projektu vai anotāciju ar atrunu, ka atbalsts nav paredzēts jau pabeigtajām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Viennozīmīgais izpratnei lūdzam precizēt rīkojuma projekta pases projekta 1.2. apakšpunktu, lietojot jēdzienu "sadarbības partneris", lai nerastos interpretācijas problēmas un nodrošinātu atbilstību Eiropas Savienības fondu regulējošos normatīvajos aktos noteiktajai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tomēr vēršam uzmanību, ka projekta pase sagatavota atbilstoši VARAM sagatavotajai formai: https://www.varam.gov.lv/lv/media/41595/download?attachment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saimnieciskās darbības veicējam, un ņemot vērā to, ka tā ir būtiska informācija projekta izvērtēšanai, lūdzam papildināt rīkojuma projekta anotāciju un pasi ar informāciju, vai Valsts sociālās apdrošināšanas aģentūrai kā finansējuma saņēmējam sniegtais atbalsts nav kvalificējams kā komercdarbības atbalsts. Skaidrojam, ka, ja atbalsts plānots, piemēram, valsts deleģētas funkcijas veikšanai, kas atbilstoši Valsts atbalsta jēdziena dokumenta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(https://eur-lex.europa.eu/legal-content/LV/TXT/?uri=celex%3A52016XC0719%2805%29) 17.punktam nav saimnieciskā darbība, lūdzam norādīt arī normatīvo aktu, kas nosaka projekta iesniedzējam pienākumu veikt projektā iekļauto valsts pārvaldes uzdevumu, lai pamatotu, ka projekta ietvaros radītā informācijas un komunikācijas tehnoloģijas risinājumi ir nepieciešami valsts deleģētas funkcijas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detalizētu pamatojumu papildināta anotācijas 1.3.sadaļa Pašreizējā situācija, problēmas un risinājumi un saīsinātu norādi - projekta pases 7.sadaļa.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kā finansējuma saņēmējam sniegtais atbalsts nav kvalificējams kā komercdarbības atbalsts. Atbalsts ir plānots valsts deleģētas funkcijas veikšanai, kas nav saimnieciskā darbība, jo tiks izpildītas Digitālās vārtejas regulas minētās prasības un likuma “Par ārkārtējo situāciju un izņēmuma stāvokli” prasības, ievērojot  Ministru kabineta 2012.gada 18.decembra noteikumos Nr.911 “Valsts sociālās apdrošināšanas aģentūras nolikums” paredzēto, proti, ka VSAA organizē un vada VSAA funkciju izpildei nepieciešamo informācijas sistēmu darbību (4.6.apakšpunkts) un atbilstoši kompetencei VSAA nodrošina, ka tiek pildīti ES tiesību akti par sociālā nodrošinājuma sistēmu koordināciju (4.10.apakšpunkts).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projektu, tiks ievēroti arī šādi Valsts pārvaldes iekārtas likuma 10.pantā paredzētie valsts pārvaldes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trešās daļas princips par valsts pārvaldes darbību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piektā daļa, kas nosaka pienākumu ievērot labas pārvaldības principu, tai skaitā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sestās daļas princips, kas paredz to, ka valsts pārvalde savā darbībā pastāvīgi pārbauda un uzlabo sabiedrībai sniegto pakalpojumu kvalitāti, un tās pienākums ir vienkāršot un uzlabot procedūras privātpersonas labā, jo sabiedrības (īpaši darba devēju, darbinieku, potenciālo darbinieku, pašnodarbināto) interesēs ir nodrošināt iestādē iesniegto iesniegumu iesniegšanu iespējami ērtāk, mazinot birokrātiskās procedūras, tās vienkāršojot, nodrošināt iespējami operatīvu iesniegumu apriti, izvērtēšanu un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1.3. sadaļā svītrot teikumu "Eiropas Savienības kohēzijas politikas programmas 2021.–2027.gadam izstrāde un nozaru ministrijām un to padotības iestādēm tiek noteikti uzdevumi, kuri risināmi, izmantojot ERAF līdzekļus.", ņemot vērā, ka  minētā darbības programma ir jau apstiprināta ar Ministru kabineta 2021.gada 16.novembra rīkojumu Nr. 841 “Par Eiropas Savienības kohēzijas politikas programmu 2021.–2027. gadam” un ar Eiropas Komisijas 2022.gada 25.novembra īstenošanas lēmumu Nr. C(2022) 8712, ar ko programmu “Eiropas Savienības kohēzijas politikas programma 2021.– 2027. gadam” apstiprina Eiropas Reģionālās attīstības fonda, Kohēzijas fonda, Eiropas Sociālā fonda Plus un Taisnīgas pārkārtošanās fonda atbalsta piešķiršanai saskaņā ar mērķi “Investīcijas nodarbinātībai un izaugsmei”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(ex-ante),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sociālas apdrošināšanas aģentūrai (turpmāk – VSAA) ir jānodrošina Latvijas Republikas (turpmāk - LR) normatīvo aktu un Eiropas Savienības (turpmāk – ES) regulu izpilde attiecībā uz pakalpojumu izmaksu LR iedzīvotājiem un precīzu sociālās apdrošināšanas iemaksu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tabulā norādītos gadus, t.i. 2. un 3.ailē norādot 2025.gadu nevis 2024.gadu, attiecīgi precizējot pārējos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Labklājības ministrijas budžeta apakšprogrammu, kurā tiks plānots finansējums projekta īstenošanai. Vienlaikus lūdzam norādīt, ka finansējums projekta īstenošanai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3.sadaļas 6.2.apakšpunktā.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projekta īstenošanai 2025. gadam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uz LM pamatbudžeta apakšprogrammu 62.08.00 “Eiropas Reģionālās attīstības fonda (ERAF) projekti (2021 - 2027)”. Savukārt, lai nodrošinātu nepieciešamo finansējumu projekta īstenošanai 2026.gadā, LM normatīvajos aktos noteiktajā kārtībā sagatavos un iesniegs priekšlikumu bāzes izdevumu precizēšanai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sniedzot detalizētus aprēķinus norādītajam papildu nepieciešamajam finansējumam projekta rezultātu uzturēšanai 2026.gadam ne vairāk kā 23 650 </w:t>
            </w:r>
            <w:r w:rsidR="00000000" w:rsidRPr="00000000" w:rsidDel="00000000">
              <w:rPr>
                <w:i w:val="1"/>
                <w:rtl w:val="0"/>
              </w:rPr>
              <w:t xml:space="preserve">euro</w:t>
            </w:r>
            <w:r w:rsidR="00000000" w:rsidRPr="00000000" w:rsidDel="00000000">
              <w:rPr>
                <w:rtl w:val="0"/>
              </w:rPr>
              <w:t xml:space="preserve"> apmērā un 2027.gadam un turpmāk ik gadu ne vairāk kā 47 300 </w:t>
            </w:r>
            <w:r w:rsidR="00000000" w:rsidRPr="00000000" w:rsidDel="00000000">
              <w:rPr>
                <w:i w:val="1"/>
                <w:rtl w:val="0"/>
              </w:rPr>
              <w:t xml:space="preserve">euro</w:t>
            </w:r>
            <w:r w:rsidR="00000000" w:rsidRPr="00000000" w:rsidDel="00000000">
              <w:rPr>
                <w:rtl w:val="0"/>
              </w:rPr>
              <w:t xml:space="preserve"> apmērā. Gadījumā, ja informāciju šobrīd nav iespējams sniegt, tad lūdzam norādīt, ka detalizēts projekta uzturēšanas izmaksu aprēķins tiks sniegts, normatīvajos aktos noteiktajā kārtībā iesniedzot attiecīgu pieprasījumu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3.sadaļas 6.2.apakšpunktā.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VSAA būs nepieciešams papildu finansējums - projekta rezultātu uzturēšanai 2027. gadā ne vairāk kā 23 650 </w:t>
            </w:r>
            <w:r w:rsidR="00000000" w:rsidRPr="00000000" w:rsidDel="00000000">
              <w:rPr>
                <w:i w:val="1"/>
                <w:rtl w:val="0"/>
              </w:rPr>
              <w:t xml:space="preserve">euro</w:t>
            </w:r>
            <w:r w:rsidR="00000000" w:rsidRPr="00000000" w:rsidDel="00000000">
              <w:rPr>
                <w:rtl w:val="0"/>
              </w:rPr>
              <w:t xml:space="preserve"> apmērā, 2028. gadā un turpmāk ik gadu ne vairāk kā 47 300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projekta uzturēšanas izmaksu aprēķins tiks sniegts normatīvajos aktos noteiktajā kārtībā, iesniedzot attiecīgu pieprasījumu Finanšu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jo nav saprotams finansēšanas avots norādītajam papildu nepieciešamajam finansējumam projekta rezultātu uzturēšanai speciālā budžeta apakšprogrammā 04.05.00 “Valsts sociālās apdrošināšanas aģentūras speciālais budžets” 2026.gadam ne vairāk kā 23 650 </w:t>
            </w:r>
            <w:r w:rsidR="00000000" w:rsidRPr="00000000" w:rsidDel="00000000">
              <w:rPr>
                <w:i w:val="1"/>
                <w:rtl w:val="0"/>
              </w:rPr>
              <w:t xml:space="preserve">euro</w:t>
            </w:r>
            <w:r w:rsidR="00000000" w:rsidRPr="00000000" w:rsidDel="00000000">
              <w:rPr>
                <w:rtl w:val="0"/>
              </w:rPr>
              <w:t xml:space="preserve"> apmērā un 2027.gadam un turpmāk ik gadu ne vairāk kā 47 300 </w:t>
            </w:r>
            <w:r w:rsidR="00000000" w:rsidRPr="00000000" w:rsidDel="00000000">
              <w:rPr>
                <w:i w:val="1"/>
                <w:rtl w:val="0"/>
              </w:rPr>
              <w:t xml:space="preserve">euro</w:t>
            </w:r>
            <w:r w:rsidR="00000000" w:rsidRPr="00000000" w:rsidDel="00000000">
              <w:rPr>
                <w:rtl w:val="0"/>
              </w:rPr>
              <w:t xml:space="preserve"> apmērā, t.i. dotācija no vispārējiem ieņēmumiem, saņemot attiecīgu transfertu no LM pamatbudžeta, vai pārējo speciālā budžeta apakšprogrammu izdevumu atskaitījumi atbilstoši to ieņēmumu īpatsvaram gada sociālās apdrošināšanas iemaksu summā.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3.sadaļas 6.2.apakšpunktā.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nodrošināts normatīvajos aktos noteiktajā kārtībā palielinot Labklājības ministrijas pamatbudžeta apakšprogrammā 97.02.00 "Nozares centralizēto funkciju izpilde" vispārējā kārtībā sadalāmo dotāciju no vispārējiem ieņēmumiem un attiecīgi izdevumus valsts budžeta transfertiem no valsts pamatbudžeta uz valsts speciālo budžetu, vienlaikus palielinot finansējumu speciālā budžeta apakšprogrammā 04.05.00  “Valsts sociālās apdrošināšanas aģentūras speciālais 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pirms vārda “papildu” lietojot vārdus “priekšlikumu par”, kā arī pirms skaitļa “23 650” un skaitļa “47 300” lietojot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"Tiesību akta projekta ietekme uz valsts budžetu un pašvaldību budžetiem",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1.3.1.1.pasākuma uzturēšanu pēc projekta noslēguma, Labklājības ministrija sniedz priekšlikumu par papildu finansējumu 2027. gadā ne vairāk kā 23 650 </w:t>
            </w:r>
            <w:r w:rsidR="00000000" w:rsidRPr="00000000" w:rsidDel="00000000">
              <w:rPr>
                <w:i w:val="1"/>
                <w:rtl w:val="0"/>
              </w:rPr>
              <w:t xml:space="preserve">euro</w:t>
            </w:r>
            <w:r w:rsidR="00000000" w:rsidRPr="00000000" w:rsidDel="00000000">
              <w:rPr>
                <w:rtl w:val="0"/>
              </w:rPr>
              <w:t xml:space="preserve"> apmērā, 2028. gadā un turpmāk ik gadu ne vairāk kā 47 300 </w:t>
            </w:r>
            <w:r w:rsidR="00000000" w:rsidRPr="00000000" w:rsidDel="00000000">
              <w:rPr>
                <w:i w:val="1"/>
                <w:rtl w:val="0"/>
              </w:rPr>
              <w:t xml:space="preserve">euro</w:t>
            </w:r>
            <w:r w:rsidR="00000000" w:rsidRPr="00000000" w:rsidDel="00000000">
              <w:rPr>
                <w:rtl w:val="0"/>
              </w:rPr>
              <w:t xml:space="preserve"> apmērā, kas tiks iekļauts valsts budžeta bāzes sagatavošanas procesā, atbilstoši Ministru kabineta 2023. gada 17. janvāra noteikumu Nr. 15 “Maksimāli pieļaujamā valsts budžeta izdevumu kopapjoma un  katrai ministrijai un citai centrālajai valsts iestādei paredzētā izdevumu kopējā apjoma noteikšanas kārtība vidējam termiņam” 9.4. punktam, kas paredz, ka ministrijas iesniedz Finanšu ministrijā informāciju pamatbudžeta bāzes projekta sagatavošanai n+1, n+2 un n+3 gadam,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5.ailes 5.1.apakšpunktu un 7., 8.ailes 5.2.apakšpunktu.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5.ailes 5.1.apakšpunkts un 7., 8.ailes 5.2.apakšpunkts.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Ministru kabinetā tiks skatīts 2025.gadā, lūdzam precizēt anotācijas 3.sadaļas tabulā norādītos gadus, t.i. 2. un 3.ailē norādot 2025.gadu nevis 2024.gadu, attiecīgi precizējot pārējos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3.sadaļas tabulā norādītie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pielikuma 7.punktā “Cita būtiska informācija” norādīto, ka projekta vadībai uz projekta laiku izveidos projekta vadītāja amata vietu, kuru finansēs no VSAA administratīvā budžeta līdzekļiem, kā arī projekta vadības funkciju izpildi finansēs no VSAA administratīvā budžeta līdzekļiem, nosakot piemaksas atbildīgajiem darbiniekiem, jāaizpilda anotācijas 3.sadaļas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realizācijas laiku paredzēts izveidot VSAA Informācijas sistēmu izstrādes daļā Projekta vadītāja amatu, nepalielinot kopējo amata vietu skaitu VSAA. Projekta vadītāja amata vietas uzturēšanas izdevumi tiks segti speciālā budžeta apakšprogrammas 04.05.00 “Valsts sociālās apdrošināšanas aģentūras speciālais budžets” apstiprināto līdzekļu ietvaros.  Pēc projekta beigām Projekta vadītāja amats tiks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Četriem projekta grupas dalībniekiem piemaksas par darbu projektā tiks nodrošinātas speciālā budžeta apakšprogrammas 04.05.00 “Valsts sociālās apdrošināšanas aģentūras speciālais budžets” apstiprināto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“Projekta izstrādē iesaistītās institūcijas un sabiedrības līdzdalības process” sākumā jāatzīmē, vai TA projektam ir jānodrošina sabiedrības līdzdalība. Ja tiek norādīts, ka sabiedrības līdzdalība nav jānodrošina, tad ir jāatzīmē "Jā" (jā, nav jānodrošina) un  šī izvēle ir jāpaskaidro iznirstošā laukā “Skaidrojums”. Lūdzam atbilstoši precizēt anotācijas 6.sadaļu.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Projekta izstrādē iesaistītās institūcijas un sabiedrības līdzdalības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procesā sabiedrības līdzdalības iespējas netika nodrošinātas, jo projektā, kura virzība tiks apstiprināta ar sagatavoto rīkojumu, plānots izstrādāt informācijas sistēmu risinājumus, kuri veidos IKT atbalstu ar normatīvajiem aktiem noteiktu pārvaldes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24-TA-3096</w:t>
    </w:r>
    <w:r>
      <w:br/>
    </w:r>
    <w:r w:rsidR="00000000" w:rsidRPr="00000000" w:rsidDel="00000000">
      <w:rPr>
        <w:rtl w:val="0"/>
      </w:rPr>
      <w:t xml:space="preserve">31.01.2025. 09.37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24-TA-3096</w:t>
    </w:r>
    <w:r>
      <w:br/>
    </w:r>
    <w:r w:rsidR="00000000" w:rsidRPr="00000000" w:rsidDel="00000000">
      <w:rPr>
        <w:rtl w:val="0"/>
      </w:rPr>
      <w:t xml:space="preserve">31.01.2025. 09.37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Izziņa_24-TA-3096.docx</dc:title>
</cp:coreProperties>
</file>

<file path=docProps/custom.xml><?xml version="1.0" encoding="utf-8"?>
<Properties xmlns="http://schemas.openxmlformats.org/officeDocument/2006/custom-properties" xmlns:vt="http://schemas.openxmlformats.org/officeDocument/2006/docPropsVTypes"/>
</file>