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22-TA-974: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 septembra noteikumos Nr. 529 "Ēku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1.11., 1.14. un 1.17.apakšpunktā aizstāt vārdus "atbilstoši atkritumu klasifikatoram" ar vārdiem "atbilstoši normatīvajiem aktiem par atkritumu klasifikatoru un īpašībām, kuras padara atkritumus bīstamus".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 1.11., 1.14. un 1.17.apakšpunktā aizstāt vārdus "atbilstoši atkritumu klasifikatoram" ar vārdiem "atbilstoši normatīvajiem aktiem par atkritumu klasifikatoru un īpašībām, kuras padara atkritumus bīstamus".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2022. gada 1.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nav skaidrs, kādēļ tiesību akta projekta "Grozījumi Ministru kabineta 2014. gada 2. septembra noteikumos Nr. 529 "Ēku būvnoteikumi"" (turpmāk - projekts) 2. punkts paredz, ka noteikumi stājas spēkā 2022. gada 1. jūlijā. Proti, no projekta  sākotnējās ietekmes (ex-ante) novērtējuma ziņojuma (turpmāk - anotācija) 1.3. apakšsadaļā ietvertās informācijas izriet, ka regulējumam, kas ietverts noteikumos atbilstoši Būvniecības likuma pārejas noteikumu 27. punktā noteiktajam, jāstājas spēkā 2022. gada 1. jūlijā. Savukārt no anotācijas 1.3. apakšsadaļā ietvertās informācijas nav skaidrs, kādēļ noteikumu grozījumiem, kas saistīti ar būvniecības informācijas sistēmā norādāmo informāciju par būvniecībā radītajiem atkritumiem, jāstājas spēkā 2022. gada 1. jūlijā. Ievērojot minēto, lūdzam precizēt projekta 2. punktā paredzēto regulējumu vai papildināt anotācijas 1.3. apakšsadaļu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apakšsadaļā ietvertā informācija. Visiem būvnoteikumos paredzētajiem grozījumiem noteikts vienots termiņš - 01.07.2022., jo nav nepieciešams noteikt dažādus termiņus, lai neapgrūtinātu normu piemērotājus ar atšķirīgu normu piemērošanas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2022. gada 1. jūlijā.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pārejas noteikumu 27. punkts paredz attiecīgo normu spēkā stāšanās datumu. Līdz ar to, lūdzam precizēt anotācijas 1.2. apakšadaļu "Pamatojums", atstājot tajā informāciju, kas skaidro, kāpēc projekta normām ir jāstājas spēkā 2022. gada 1. 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2. apakšpunkts - Ministru kabineta 2014.gada 2.septembra noteikumu Nr.529 “Ēku būvnoteikumi” 7.2 3., 7.2 5., 7.2 6., 7.2 8. un 7.2 9. apakšpunktā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klusēšanas-piekrišanas principa piemērošanu Ministru kabineta 02.09.2014. noteikumu Nr. 529 “Ēku būvnoteikumi” (turpmāk – ĒBN) ĒBN 7.2 9. apakšpunktā minētajā gadījumā (pirmās, otrās vai trešās grupas ēkas vai tās daļas konservācija) LLPA informē, ka pieredze rāda, ka ne vienmēr šajās būvniecības iecerēs tiek paredzēti realizācijas risinājumi, kas atbilst konservācijas definīcijai, bet būvniecības iecerē paredzētie realizācijas risinājumi paredz ēkas vai tās daļas pārbūvi, kuru veikšanai ir nepieciešams izstrādāt būvprojektu un saņemt būvatļauju. Tādējādi var rasties situācija, ka iecere tiks uzskatīta par akceptētu, pamatojoties uz klusēšanas-piekrišanas principu, taču būvniecības iecerē būs paredzēta ēkas pārbūve. LLPA ieskatā ir ļoti būtiski izvērtēt paskaidrojuma rakstā konservācijai paredzētos realizācijas risinājumus un to atbilstību konservācijas definīcijai, lai izvairītos no situācijas, ka ar vienkāršotu būvniecības procedūru tiek veikti būvdarbi, kuri neatbilst vienkāršotai būvniecības iecerei.  Ņemot vērā minēto, LLPA ierosina paskaidrojuma rakstu ēkas vai tās daļas konservācijai noteikt kā izņēmumu, uz kuriem neattiecas klusēšanas-piekrišanas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attiecibā uz ĒBN 7.28. apakšpunktā minēto gadījumu (pirmās, otrās vai trešās grupas ēkas vai tās daļas vienkāršota pārbūve, izņemot šo noteikumu 7. un 7.1 punktā minēto gadījumu) LLPA pauž bažas, ka šī būvniecības iecere var tikt izmantota gadījumos, kad būvniecība patiesībā realizējama ar pārbūves būvprojektu nevis paskaidrojuma rakstu. Ņemot vērā, ka vienkāršotā pārbūve ir salīdzinoši jauns regulējums, LLPA nav uzskatāmu piemēru, taču, kā piemēru LLPA var minēt konsultāciju laikā klienta uzrādītu skici, kura, klienta prāt, risināma ĒBN 7.28. apakšpunktā minētajā kārtībā, taču  plānotajā iecerē tika paredzēta ne tikai ailu izveidošana nesošajā konstrukcijā, bet visas nesošās konstrukcijas pastiprināšana, kā rezultātā tika secināts, ka piedāvātais variants neatbilst vienkāršotas pārbūves definīcijai.  Ņemot vērā minēto, LLPA ierosina paskaidrojuma rakstu pirmās, otrās vai trešās grupas ēkas vai tās daļas vienkāršota pārbūvei noteikt kā izņēmumu, uz kuriem neattiecas klusēšanas-piekrišanas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nosaka, kādos termiņos iestādei ir jāreaģē uz konkrēto pieprasījumu, sniedzot saskaņojumu vai atteikumu. Iestādei piedāvātais regulējums neliedz atteikt saskaņojumu vai pagarināt lēmuma pieņemšanu. Regulējums ir vērsts uz to, lai iestāde normatīvajos aktos noteiktajā termiņā pieņemtu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klusēšanas - piekrišanas principu Būvniecības likumā, tika norādīts, ka sākotnēji šie gadījumi tiks noteikti vienkāršākiem gadījumiem un ņemot vērā to piemērošanas praksi, tiks noteikti vairāki gadījumi, kad noklusējuma principu varēs piemērot. Šobrīd būvvaldes noklusējuma saskaņojums tiek attiecināts tikai uz būves atjaunošanu, konservāciju vai nojaukšanu, bet netiek attiecināti uz jaunu būvniecību un pārbūvi, jo šādas darbības var skart trešo personu intereses, kas ir obligāti saskaņojamas. Pie tam regulējums stāsies spēkā pēc gada, kas ļaus savlaicīgi sagatavoties plānotajām izmaiņām.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noteikumus ar 1.11.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gadījumus, kuros ir piemērojama atļaujas, atzīmes un saskaņojuma izdošana ar noklusējumu.";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2014. gada 2. septembra noteikumos Nr. 529 "Ēku būvnoteikumi"" (turpmāk - projekts) 1.2. apakšpunktā ietvertais Ēku būvnoteikumu 1.11. apakšpunkts atbilstoši Būvniecības likuma 14.</w:t>
            </w:r>
            <w:r w:rsidR="00000000" w:rsidRPr="00000000" w:rsidDel="00000000">
              <w:rPr>
                <w:vertAlign w:val="superscript"/>
                <w:rtl w:val="0"/>
              </w:rPr>
              <w:t xml:space="preserve">1</w:t>
            </w:r>
            <w:r w:rsidR="00000000" w:rsidRPr="00000000" w:rsidDel="00000000">
              <w:rPr>
                <w:rtl w:val="0"/>
              </w:rPr>
              <w:t xml:space="preserve"> panta ceturtajā daļā (stāsies spēkā 2022. gada 1. jūlijā) Ministru kabinetam dotajam pilnvarojumam noteic, ka Ēku būvnoteikumi nosaka gadījumus, kuros piemērojama atļaujas, atzīmes un saskaņojuma izdošana ar noklusējumu. Vēršam uzmanību uz to, ka projekta 1.6. apakšpunktā ietvertais Ēku būvnoteikumu 46.</w:t>
            </w:r>
            <w:r w:rsidR="00000000" w:rsidRPr="00000000" w:rsidDel="00000000">
              <w:rPr>
                <w:vertAlign w:val="superscript"/>
                <w:rtl w:val="0"/>
              </w:rPr>
              <w:t xml:space="preserve">2 </w:t>
            </w:r>
            <w:r w:rsidR="00000000" w:rsidRPr="00000000" w:rsidDel="00000000">
              <w:rPr>
                <w:rtl w:val="0"/>
              </w:rPr>
              <w:t xml:space="preserve">punkts paredz gadījumus, kuros piemērojama Būvniecības likuma 14.</w:t>
            </w:r>
            <w:r w:rsidR="00000000" w:rsidRPr="00000000" w:rsidDel="00000000">
              <w:rPr>
                <w:vertAlign w:val="superscript"/>
                <w:rtl w:val="0"/>
              </w:rPr>
              <w:t xml:space="preserve">1</w:t>
            </w:r>
            <w:r w:rsidR="00000000" w:rsidRPr="00000000" w:rsidDel="00000000">
              <w:rPr>
                <w:rtl w:val="0"/>
              </w:rPr>
              <w:t xml:space="preserve"> panta pirmā daļa (stāsies spēkā 2022. gada 1. jūlijā). Būvniecības likuma 14.</w:t>
            </w:r>
            <w:r w:rsidR="00000000" w:rsidRPr="00000000" w:rsidDel="00000000">
              <w:rPr>
                <w:vertAlign w:val="superscript"/>
                <w:rtl w:val="0"/>
              </w:rPr>
              <w:t xml:space="preserve">1</w:t>
            </w:r>
            <w:r w:rsidR="00000000" w:rsidRPr="00000000" w:rsidDel="00000000">
              <w:rPr>
                <w:rtl w:val="0"/>
              </w:rPr>
              <w:t xml:space="preserve"> panta pirmā daļa (stāsies spēkā 2022. gada 1. jūlijā) attiecināma uz gadījumiem, kad lēmums un atzīme izdodama ar noklusējumu. Ņemot vērā minēto, projekta 1.6. apakšpunkts paredz noteikt gadījumus, kuros atzīmes izdodamas ar noklusējumu, savukārt atļaujas un saskaņojuma izdošanu ar noklusējumu projekts noteikt neparedz. Tādējādi lūdzam precizēt projekta 1.2. apakšpunktā ietverto Ēku būvnoteikumu 1.11. apakšpunktu, neparedzot, ka tie nosaka arī atļaujas un saskaņojuma izdošanu ar noklusējumu.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noteikumus ar 1.11.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gadījumus, kuros ir piemērojama atzīmes izdošana ar noklusējumu.";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noteikumus ar 46.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2</w:t>
            </w:r>
            <w:r w:rsidR="00000000" w:rsidRPr="00000000" w:rsidDel="00000000">
              <w:rPr>
                <w:rtl w:val="0"/>
              </w:rPr>
              <w:t xml:space="preserve"> Būvniecības likuma 14.</w:t>
            </w:r>
            <w:r w:rsidR="00000000" w:rsidRPr="00000000" w:rsidDel="00000000">
              <w:rPr>
                <w:vertAlign w:val="superscript"/>
                <w:rtl w:val="0"/>
              </w:rPr>
              <w:t xml:space="preserve">1</w:t>
            </w:r>
            <w:r w:rsidR="00000000" w:rsidRPr="00000000" w:rsidDel="00000000">
              <w:rPr>
                <w:rtl w:val="0"/>
              </w:rPr>
              <w:t xml:space="preserve"> panta pirmā daļa ir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2</w:t>
            </w:r>
            <w:r w:rsidR="00000000" w:rsidRPr="00000000" w:rsidDel="00000000">
              <w:rPr>
                <w:rtl w:val="0"/>
              </w:rPr>
              <w:t xml:space="preserve"> 1. šo noteikumu 7.</w:t>
            </w:r>
            <w:r w:rsidR="00000000" w:rsidRPr="00000000" w:rsidDel="00000000">
              <w:rPr>
                <w:vertAlign w:val="superscript"/>
                <w:rtl w:val="0"/>
              </w:rPr>
              <w:t xml:space="preserve">2</w:t>
            </w:r>
            <w:r w:rsidR="00000000" w:rsidRPr="00000000" w:rsidDel="00000000">
              <w:rPr>
                <w:rtl w:val="0"/>
              </w:rPr>
              <w:t xml:space="preserve"> 7. apakšpunktā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2</w:t>
            </w:r>
            <w:r w:rsidR="00000000" w:rsidRPr="00000000" w:rsidDel="00000000">
              <w:rPr>
                <w:rtl w:val="0"/>
              </w:rPr>
              <w:t xml:space="preserve"> 2. šo noteikumu 7.</w:t>
            </w:r>
            <w:r w:rsidR="00000000" w:rsidRPr="00000000" w:rsidDel="00000000">
              <w:rPr>
                <w:vertAlign w:val="superscript"/>
                <w:rtl w:val="0"/>
              </w:rPr>
              <w:t xml:space="preserve">2</w:t>
            </w:r>
            <w:r w:rsidR="00000000" w:rsidRPr="00000000" w:rsidDel="00000000">
              <w:rPr>
                <w:rtl w:val="0"/>
              </w:rPr>
              <w:t xml:space="preserve"> 3., 7.</w:t>
            </w:r>
            <w:r w:rsidR="00000000" w:rsidRPr="00000000" w:rsidDel="00000000">
              <w:rPr>
                <w:vertAlign w:val="superscript"/>
                <w:rtl w:val="0"/>
              </w:rPr>
              <w:t xml:space="preserve">2</w:t>
            </w:r>
            <w:r w:rsidR="00000000" w:rsidRPr="00000000" w:rsidDel="00000000">
              <w:rPr>
                <w:rtl w:val="0"/>
              </w:rPr>
              <w:t xml:space="preserve"> 5., 7.</w:t>
            </w:r>
            <w:r w:rsidR="00000000" w:rsidRPr="00000000" w:rsidDel="00000000">
              <w:rPr>
                <w:vertAlign w:val="superscript"/>
                <w:rtl w:val="0"/>
              </w:rPr>
              <w:t xml:space="preserve">2</w:t>
            </w:r>
            <w:r w:rsidR="00000000" w:rsidRPr="00000000" w:rsidDel="00000000">
              <w:rPr>
                <w:rtl w:val="0"/>
              </w:rPr>
              <w:t xml:space="preserve"> 6., 7.</w:t>
            </w:r>
            <w:r w:rsidR="00000000" w:rsidRPr="00000000" w:rsidDel="00000000">
              <w:rPr>
                <w:vertAlign w:val="superscript"/>
                <w:rtl w:val="0"/>
              </w:rPr>
              <w:t xml:space="preserve">2</w:t>
            </w:r>
            <w:r w:rsidR="00000000" w:rsidRPr="00000000" w:rsidDel="00000000">
              <w:rPr>
                <w:rtl w:val="0"/>
              </w:rPr>
              <w:t xml:space="preserve"> 8. un 7.</w:t>
            </w:r>
            <w:r w:rsidR="00000000" w:rsidRPr="00000000" w:rsidDel="00000000">
              <w:rPr>
                <w:vertAlign w:val="superscript"/>
                <w:rtl w:val="0"/>
              </w:rPr>
              <w:t xml:space="preserve">2</w:t>
            </w:r>
            <w:r w:rsidR="00000000" w:rsidRPr="00000000" w:rsidDel="00000000">
              <w:rPr>
                <w:rtl w:val="0"/>
              </w:rPr>
              <w:t xml:space="preserve"> 9. apakšpunktā minētajā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14.1 pants “Atļaujas, atzīmes un saskaņojuma izdošana ar noklusējumu”  redakcijā, kas stāsies spēkā 01.07.2022., ir pieņemts 15.04.2021. – tātad attiecināms uz tām būvniecības iecerēm, kuras uz 2021.gada 15.aprīli spēkā esošajiem normatīvajiem aktiem atbilda būvniecības iecerēm, kuras varēja sagatavot un iesniegt ar Paskaidrojuma 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Ēku būvnoteikumos,  atsakoties no  Apliecinājuma kartēm un mainot būvniecības ieceru dokumentācijas  noformēšanas un iesniegšanas kārtību ar Paskaidrojuma rakstu, paplašinot būvniecības darbību veidus, kas tam atbilst,  tika veikti laikā pēc Būvniecības likuma  14.1 panta pieņemšanas -11.01.2022., sekojoši, līdz tam vienkāršākajām būvniecības iecerēm atbilstošajam Paskaidrojuma rakstam tika paplašināts pielietojums,    iepriekš tajā neietilpa ēku restaurācija nevienai ēku grupai, otrās un trešās grupas ēku atjaunošana, inženiertīkliem pieslēgtu ēku nojaukšana, kā arī ēku novietošana, izņemot ēkas, kuru ekspluatācijas laiks nav lielāks par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konstatēto, secinām, ka Grozījumos paredzētā  saskaņojuma ar noklusējumu attiecināšanas paplašināšana uz ēku visu grupu restaurāciju, 2. un 3. grupas ēku atjaunošanu neatbilst Būvniecības likuma  14.1 pantā noteiktajam – paplašinot likumdevēja likumā noteikto deleģējumu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restaurācijas saskaņošana ar noklusējumu var būt bīstama Latvijas kultūras mantojuma saglabāšanas kvalitatīvai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attiecas uz jebkuru paskaidrojuma rakstu. Būvniecības likuma dotajā deleģējumā nav norādes, ka noklusējuma princips ir piemērojams tikai uz tām būvniecības iecerēm, kuras varēja realizēt ar paskaidrojuma rakstu līdz 2021.gada 15.aprīlim. Vēršam uzmanību, ka noklusējums princips piemērojams tikai uz pirmās grupas ēkas restaurāciju nevis uz jebkuru ēku.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noteikumus ar 46.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2</w:t>
            </w:r>
            <w:r w:rsidR="00000000" w:rsidRPr="00000000" w:rsidDel="00000000">
              <w:rPr>
                <w:rtl w:val="0"/>
              </w:rPr>
              <w:t xml:space="preserve"> Būvniecības likuma 14.</w:t>
            </w:r>
            <w:r w:rsidR="00000000" w:rsidRPr="00000000" w:rsidDel="00000000">
              <w:rPr>
                <w:vertAlign w:val="superscript"/>
                <w:rtl w:val="0"/>
              </w:rPr>
              <w:t xml:space="preserve">1</w:t>
            </w:r>
            <w:r w:rsidR="00000000" w:rsidRPr="00000000" w:rsidDel="00000000">
              <w:rPr>
                <w:rtl w:val="0"/>
              </w:rPr>
              <w:t xml:space="preserve"> panta pirmā daļa ir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2</w:t>
            </w:r>
            <w:r w:rsidR="00000000" w:rsidRPr="00000000" w:rsidDel="00000000">
              <w:rPr>
                <w:rtl w:val="0"/>
              </w:rPr>
              <w:t xml:space="preserve"> 1. šo noteikumu 7.</w:t>
            </w:r>
            <w:r w:rsidR="00000000" w:rsidRPr="00000000" w:rsidDel="00000000">
              <w:rPr>
                <w:vertAlign w:val="superscript"/>
                <w:rtl w:val="0"/>
              </w:rPr>
              <w:t xml:space="preserve">2</w:t>
            </w:r>
            <w:r w:rsidR="00000000" w:rsidRPr="00000000" w:rsidDel="00000000">
              <w:rPr>
                <w:rtl w:val="0"/>
              </w:rPr>
              <w:t xml:space="preserve"> 7. apakšpunktā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2</w:t>
            </w:r>
            <w:r w:rsidR="00000000" w:rsidRPr="00000000" w:rsidDel="00000000">
              <w:rPr>
                <w:rtl w:val="0"/>
              </w:rPr>
              <w:t xml:space="preserve"> 2. šo noteikumu 7.</w:t>
            </w:r>
            <w:r w:rsidR="00000000" w:rsidRPr="00000000" w:rsidDel="00000000">
              <w:rPr>
                <w:vertAlign w:val="superscript"/>
                <w:rtl w:val="0"/>
              </w:rPr>
              <w:t xml:space="preserve">2</w:t>
            </w:r>
            <w:r w:rsidR="00000000" w:rsidRPr="00000000" w:rsidDel="00000000">
              <w:rPr>
                <w:rtl w:val="0"/>
              </w:rPr>
              <w:t xml:space="preserve"> 3., 7.</w:t>
            </w:r>
            <w:r w:rsidR="00000000" w:rsidRPr="00000000" w:rsidDel="00000000">
              <w:rPr>
                <w:vertAlign w:val="superscript"/>
                <w:rtl w:val="0"/>
              </w:rPr>
              <w:t xml:space="preserve">2</w:t>
            </w:r>
            <w:r w:rsidR="00000000" w:rsidRPr="00000000" w:rsidDel="00000000">
              <w:rPr>
                <w:rtl w:val="0"/>
              </w:rPr>
              <w:t xml:space="preserve"> 5., 7.</w:t>
            </w:r>
            <w:r w:rsidR="00000000" w:rsidRPr="00000000" w:rsidDel="00000000">
              <w:rPr>
                <w:vertAlign w:val="superscript"/>
                <w:rtl w:val="0"/>
              </w:rPr>
              <w:t xml:space="preserve">2</w:t>
            </w:r>
            <w:r w:rsidR="00000000" w:rsidRPr="00000000" w:rsidDel="00000000">
              <w:rPr>
                <w:rtl w:val="0"/>
              </w:rPr>
              <w:t xml:space="preserve"> 6., 7.</w:t>
            </w:r>
            <w:r w:rsidR="00000000" w:rsidRPr="00000000" w:rsidDel="00000000">
              <w:rPr>
                <w:vertAlign w:val="superscript"/>
                <w:rtl w:val="0"/>
              </w:rPr>
              <w:t xml:space="preserve">2</w:t>
            </w:r>
            <w:r w:rsidR="00000000" w:rsidRPr="00000000" w:rsidDel="00000000">
              <w:rPr>
                <w:rtl w:val="0"/>
              </w:rPr>
              <w:t xml:space="preserve"> 8. un 7.</w:t>
            </w:r>
            <w:r w:rsidR="00000000" w:rsidRPr="00000000" w:rsidDel="00000000">
              <w:rPr>
                <w:vertAlign w:val="superscript"/>
                <w:rtl w:val="0"/>
              </w:rPr>
              <w:t xml:space="preserve">2</w:t>
            </w:r>
            <w:r w:rsidR="00000000" w:rsidRPr="00000000" w:rsidDel="00000000">
              <w:rPr>
                <w:rtl w:val="0"/>
              </w:rPr>
              <w:t xml:space="preserve"> 9. apakšpunktā minētajā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svītrot 110. punktā otro 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redakcijā 110. punkts ir izteikts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veicējs, izskatot būvniecības ieceres dokumentāciju, pārliecinās par papildu – detalizētāku – rasējumu nepieciešamību. Ja būvdarbu veicējs nav pieprasījis papildu – detalizētāku – rasējumu izstrādi vai pats nav tos izstrādājis, būvdarbu veicējs ir atbildīgs par iespējamām sekām. Detalizētākus rasējumus var izstrādāt arī būvdarbu gaitā, un tie pievienojami būvniecības informācijas sistēmā un saskaņojami ar būvprojekta izstrādātāju un būvniecības ierosinātāju.”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anotācijā  (Anotācija) skaidrots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15. aprīlī pieņemtajos grozījumos Būvniecības likums tika papildināts ar 19.2 pantu, kas nosaka būvniecības procesa dalībnieku pienākumus un atbildību. Šā panta piektā daļa paredz, ja būvdarbu veicējs pirms būvdarbu uzsākšanas nav pieprasījis būvprojekta papildu detalizācijas izstrādi, viņš ir atbildīgs par iespējamām sekām, kā arī par attiecīgās detalizācijas nodrošināšanu. Par detalizācijas un tajā ietverto risinājumu atbilstību būvprojektam un tajā ietvertajiem risinājumiem atbild detalizācijas izstrādātājs. Savukārt šo būvnoteikumu 110. punktā arī ir noteikta būvdarbu veicēja atbildība par būvprojekta detalizācijas izstrādi, līdz ar to nepieciešams precizēt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būvnoteikumu 110. punkts, svītrojot teikumu par būvdarbu veicēja atbildību par būvprojekta detalizācijas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 ka Anotācijā nav dots pietiekams pamatojums būvdarbu veicēja atbildības mazināšanai. Jaunajā Noteikumu redakcijā, par detalizācijas izstrādi vairs neatbildēs neviens – ne būvprojekta izstrādātājs, ne būvdarbu veicējs, jo nav noteikts, kura pienākums dotajā situācijā ir izstrādāt papildus detalizāciju, lai realizētu kvalitatīvu un ekspluatācijā drošu būvi.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secinām, ka minētā Noteikumu punkta grozījumi neietilpst tam jautājumu lokam, kas pamatoti ar iepriekš  veiktajām  izmaiņām Būvniecības likumā un Anotācijā definētajam noteikumu grozījumu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19.</w:t>
            </w:r>
            <w:r w:rsidR="00000000" w:rsidRPr="00000000" w:rsidDel="00000000">
              <w:rPr>
                <w:vertAlign w:val="superscript"/>
                <w:rtl w:val="0"/>
              </w:rPr>
              <w:t xml:space="preserve">2</w:t>
            </w:r>
            <w:r w:rsidR="00000000" w:rsidRPr="00000000" w:rsidDel="00000000">
              <w:rPr>
                <w:rtl w:val="0"/>
              </w:rPr>
              <w:t xml:space="preserve"> panta piektā daļa nosaka, ja būvdarbu veicējs pirms būvdarbu uzsākšanas nav pieprasījis būvprojekta papildu detalizācijas izstrādi, viņš ir atbildīgs par iespējamām sekām, kā arī par attiecīgās detalizācijas nodrošināšanu. Par detalizācijas un tajā ietverto risinājumu atbilstību būvprojektam un tajā ietvertajiem risinājumiem atbild detalizācijas izstrādātājs. Līdz ar to būvnoteikumos nav jādublē normas, kas noteiktas augstāk stāvošā normatīvajā aktā, kurā jau ir noteikta būvdarbu veicēja atbildība par būvprojekta detalizācijas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svītrot 110. punktā otro teikumu;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izteikt 1. pielikuma I daļas 2.8.9. un 2.8.10.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plānotais būvniecības atkritumu veids (atbilstoši atkritumu klasifikatoram);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 plānotais būvniecības atkritumu apjoms;";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3.7. apakšnodaļā ir noteiktas prasības, kā Ministru kabineta noteikumu projektos raksta atsauces uz citiem tāda paša vai augstāka juridiskā spēka normatīvajiem aktiem. Ievērojot minēto, kā arī to, ka atkritumu klasifikators ir ietverts Ministru kabineta 2011. gada 19. aprīļa noteikumu Nr. 302 "Noteikumi par atkritumu klasifikatoru un īpašībām, kuras padara atkritumus bīstamus" pielikumā, lūdzam precizēt projektā paredzētajā noteikumu 1. , 4.  un 14. pielikumā ietverto atsauci uz atkritumu klasifikatoru.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Būvnoteikumu 1., 4. un 14. pielikumā  ietvertās atsauces uz atkritumu klasifikatoru precizētas vienveidīgi visos speciālajos būvnoteikumos atbilstoši VARAM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izteikt 1. pielikuma I daļas 2.8.9. un 2.8.10.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 plānotais būvniecības atkritumu veids (atbilstoši normatīvajiem aktiem par atkritumu klasifikatoru un īpašībām, kuras padara atkritumus bīstamus);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 plānotais būvniecības atkritumu apjoms;";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svītrot 110. punktā otro 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redakcijā 110. punkts ir izteikts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veicējs, izskatot būvniecības ieceres dokumentāciju, pārliecinās par papildu – detalizētāku – rasējumu nepieciešamību. Ja būvdarbu veicējs nav pieprasījis papildu – detalizētāku – rasējumu izstrādi vai pats nav tos izstrādājis, būvdarbu veicējs ir atbildīgs par iespējamām sekām. Detalizētākus rasējumus var izstrādāt arī būvdarbu gaitā, un tie pievienojami būvniecības informācijas sistēmā un saskaņojami ar būvprojekta izstrādātāju un būvniecības ierosinātāju.”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anotācijā  (Anotācija) skaidrots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2021. gada 15. aprīlī pieņemtajos grozījumos Būvniecības likums tika papildināts ar 19.2 pantu, kas nosaka būvniecības procesa dalībnieku pienākumus un atbildību. Šā panta piektā daļa paredz, ja būvdarbu veicējs pirms būvdarbu uzsākšanas nav pieprasījis būvprojekta papildu detalizācijas izstrādi, viņš ir atbildīgs par iespējamām sekām, kā arī par attiecīgās detalizācijas nodrošināšanu. Par detalizācijas un tajā ietverto risinājumu atbilstību būvprojektam un tajā ietvertajiem risinājumiem atbild detalizācijas izstrādātājs. Savukārt šo būvnoteikumu 110. punktā arī ir noteikta būvdarbu veicēja atbildība par būvprojekta detalizācijas izstrādi, līdz ar to nepieciešams precizēt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būvnoteikumu 110. punkts, svītrojot teikumu par būvdarbu veicēja atbildību par būvprojekta detalizācijas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 ka  Anotācijā nav dots pietiekams pamatojums būvdarbu veicēja atbildības mazināšanai. Jaunajā Noteikumu redakcijā, par detalizācijas izstrādi vairs neatbildēs neviens – ne būvprojekta izstrādātājs, ne būvdarbu veicējs, jo nav noteikts, kura pienākums   dotajā situācijā ir izstrādāt papildus detalizāciju, lai realizētu kvalitatīvu un ekspluatācijā drošu būvi.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tam, secinām, ka minētā Noteikumu punkta  grozījumi neietilpst tam jautājumu lokam, kas pamatoti ar iepriekš  veiktajām  izmaiņām Būvniecības likumā un Anotācijā definētajam noteikumu grozījumu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sniegto viedokli izziņas 7.punktā, jo 13.06.2022. izteiktais priekšlikums ir identisks 25.05.2022. LLPA sniegtajam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svītrot 110. punktā otro teikumu;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papildināt noteikumus ar 235. un 236.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Šo noteikumu 46.</w:t>
            </w:r>
            <w:r w:rsidR="00000000" w:rsidRPr="00000000" w:rsidDel="00000000">
              <w:rPr>
                <w:vertAlign w:val="superscript"/>
                <w:rtl w:val="0"/>
              </w:rPr>
              <w:t xml:space="preserve">2</w:t>
            </w:r>
            <w:r w:rsidR="00000000" w:rsidRPr="00000000" w:rsidDel="00000000">
              <w:rPr>
                <w:rtl w:val="0"/>
              </w:rPr>
              <w:t xml:space="preserve"> 2. apakšpunkts stājas spēkā 2023.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Šo noteikumu 46.</w:t>
            </w:r>
            <w:r w:rsidR="00000000" w:rsidRPr="00000000" w:rsidDel="00000000">
              <w:rPr>
                <w:vertAlign w:val="superscript"/>
                <w:rtl w:val="0"/>
              </w:rPr>
              <w:t xml:space="preserve">2</w:t>
            </w:r>
            <w:r w:rsidR="00000000" w:rsidRPr="00000000" w:rsidDel="00000000">
              <w:rPr>
                <w:rtl w:val="0"/>
              </w:rPr>
              <w:t xml:space="preserve"> punkts nav piemērojams būvniecības procesiem, kas noris neizmantojot būvniecības informācijas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projektā paredzēto Ēku būvnoteikumu 235. punktu, nosakot, ka grozījumi par šo noteikumu izdošanas tiesiskā pamata izteikšanu jaunā redakcijā, ciktāl tas attiecas uz norādes papildināšanu ar Būvniecības likuma 14.</w:t>
            </w:r>
            <w:r w:rsidR="00000000" w:rsidRPr="00000000" w:rsidDel="00000000">
              <w:rPr>
                <w:vertAlign w:val="superscript"/>
                <w:rtl w:val="0"/>
              </w:rPr>
              <w:t xml:space="preserve">1</w:t>
            </w:r>
            <w:r w:rsidR="00000000" w:rsidRPr="00000000" w:rsidDel="00000000">
              <w:rPr>
                <w:rtl w:val="0"/>
              </w:rPr>
              <w:t xml:space="preserve"> panta ceturto daļu, stājas spēkā 2023. gada 1. jūlijā. Vienlaikus, ņemot vērā to, ka šis regulējums saistīts ar atzīmes izdošanu ar noklusējumu, lūdzam paredzēt, ka projekta 1.2. apakšpunkts stājas spēkā 2023. gada 1. 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 šo noteikumu izdošanas tiesiskā pamata izteikšanu jaunā redakcijā, ciktāl tas attiecas uz norādes papildināšanu ar Būvniecības likuma 14.</w:t>
            </w:r>
            <w:r w:rsidR="00000000" w:rsidRPr="00000000" w:rsidDel="00000000">
              <w:rPr>
                <w:vertAlign w:val="superscript"/>
                <w:rtl w:val="0"/>
              </w:rPr>
              <w:t xml:space="preserve">1</w:t>
            </w:r>
            <w:r w:rsidR="00000000" w:rsidRPr="00000000" w:rsidDel="00000000">
              <w:rPr>
                <w:rtl w:val="0"/>
              </w:rPr>
              <w:t xml:space="preserve"> panta ceturto daļu, un arī regulējums, kas saistīts ar atzīmes izdošanu ar noklusējumu, projekta 1.2. apakšpunkts stājas spēkā 2022. gada 1. jūlijā nevis 2023.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jūlijā stājas spēkā tikai viens apakšpunkts -  46.</w:t>
            </w:r>
            <w:r w:rsidR="00000000" w:rsidRPr="00000000" w:rsidDel="00000000">
              <w:rPr>
                <w:vertAlign w:val="superscript"/>
                <w:rtl w:val="0"/>
              </w:rPr>
              <w:t xml:space="preserve">2</w:t>
            </w:r>
            <w:r w:rsidR="00000000" w:rsidRPr="00000000" w:rsidDel="00000000">
              <w:rPr>
                <w:rtl w:val="0"/>
              </w:rPr>
              <w:t xml:space="preserve"> 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papildināt noteikumus ar 235. un 236.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Šo noteikumu 46.</w:t>
            </w:r>
            <w:r w:rsidR="00000000" w:rsidRPr="00000000" w:rsidDel="00000000">
              <w:rPr>
                <w:vertAlign w:val="superscript"/>
                <w:rtl w:val="0"/>
              </w:rPr>
              <w:t xml:space="preserve">2</w:t>
            </w:r>
            <w:r w:rsidR="00000000" w:rsidRPr="00000000" w:rsidDel="00000000">
              <w:rPr>
                <w:rtl w:val="0"/>
              </w:rPr>
              <w:t xml:space="preserve"> 2. apakšpunkts stājas spēkā 2023.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 Šo noteikumu 46.</w:t>
            </w:r>
            <w:r w:rsidR="00000000" w:rsidRPr="00000000" w:rsidDel="00000000">
              <w:rPr>
                <w:vertAlign w:val="superscript"/>
                <w:rtl w:val="0"/>
              </w:rPr>
              <w:t xml:space="preserve">2</w:t>
            </w:r>
            <w:r w:rsidR="00000000" w:rsidRPr="00000000" w:rsidDel="00000000">
              <w:rPr>
                <w:rtl w:val="0"/>
              </w:rPr>
              <w:t xml:space="preserve"> punkts nav piemērojams būvniecības procesiem, kas noris neizmantojot būvniecības informācijas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atzīmēt BIS pilveides ietekmi un valsts IKT attīstību. (Šajā anotācijas sadaļā vienuviet precizējama informācija, kuras BIS funkcionalitātes ir izstrādātas un kuras ir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ka saskaņā ar Ministru kabineta 2021. gada 31. augusta noteikumu Nr. 597 "Valsts informācijas sistēmu attīstības projektu uzraudzības kārtība" 5.punktu iesniedzams aktivitātes apraksts - atbilstoši projekta stadijai - saskaņošanai Vides aizsardzības un reģionālās attīstības ministrijā. (BIS uzturēšanas ietvaros veiktās izstrādes jāsaskaņo, ja šādas izstrādes būtiski ietekmē citas informācijas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apakšsadaļu "Mērķa apraksts", lai teksts būtu skaidrs un nepārprotams, proti, ka projekta mērķis ir precizēt Ministru kabineta 2014. gada 2. septembra noteikumu Nr. 529 "Ēku būvnoteikumi" normas saistībā ar 2021. gada 15. aprīlī pieņemto likumu "Grozījumi Būvniecības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dzēst anotācijā vārdus "neietekmē Būvniecības informācijas sistēmas attīstības projektu un valsts IKT attīstību, tādejādi", jo pie ietekmes uz valsts IKT attīstību esat atzīmējuši "jā".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8.1.2. uz valsts un pašvaldību informācijas un komunikācijas tehnoloģiju attīstību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22-TA-974</w:t>
    </w:r>
    <w:r>
      <w:br/>
    </w:r>
    <w:r w:rsidR="00000000" w:rsidRPr="00000000" w:rsidDel="00000000">
      <w:rPr>
        <w:rtl w:val="0"/>
      </w:rPr>
      <w:t xml:space="preserve">17.06.2022. 18.16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22-TA-974</w:t>
    </w:r>
    <w:r>
      <w:br/>
    </w:r>
    <w:r w:rsidR="00000000" w:rsidRPr="00000000" w:rsidDel="00000000">
      <w:rPr>
        <w:rtl w:val="0"/>
      </w:rPr>
      <w:t xml:space="preserve">17.06.2022. 18.16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Izziņa_22-TA-974.docx</dc:title>
</cp:coreProperties>
</file>

<file path=docProps/custom.xml><?xml version="1.0" encoding="utf-8"?>
<Properties xmlns="http://schemas.openxmlformats.org/officeDocument/2006/custom-properties" xmlns:vt="http://schemas.openxmlformats.org/officeDocument/2006/docPropsVTypes"/>
</file>