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22-TA-1407: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2011. gada 30. augusta noteikumos Nr. 685 "Rezidentu uzņemšanas, sadales un rezidentūras finansēšanas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30. augusta noteikumos Nr. 685 "Rezidentu uzņemšanas, sadales un rezidentūras finansēšanas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- 17.05.2022.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Veselības ministrijas (turpmāk – VM) izstrādātajiem grozījumiem Ministru kabineta 2011. gada 30. augusta noteikumos Nr. 685 "Rezidentu uzņemšanas, sadales un rezidentūras finansēšanas kārtība" (turpmāk –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pārskatīt šobrīd pastāvošo kārtību attiecībā uz rezidentūras vietu skaitu, to finansēšanu, sadalījumu, rezidentūras vietām un valsts budžeta finansēto rezidentu “atstrādēm” pēc rezidentūras pabeigšanas. Tieši akūti iztrūkstošais personāls veselības aprūpes nozarē ir galvenais šķērslis savlaicīgu veselības aprūpes pakalpojumu nodrošināšanā. Gan valsts apmaksātos veselības aprūpes pakalpojumus, gan maksas pakalpojumus pacientiem nodrošina privātās un publiskās ārstniecības iestādes. Taču, neraugoties, ka visas ārstniecības iestādes maksā identiskus nodokļus, no kuriem tiek finansētas valsts, iedzīvotāju vajadzības, privātās ārstniecības iestādes nevar pretendēt uz valsts budžeta vietu rezidentiem rezidentūras laikā un pēc tam arī uz valsts  apmaksātas rezidentūras pabeigušiem speciālistiem. Privātām ārstniecības iestādēm vienīgā iespēja kā piesaistīt jaunus darbiniekus ir apmaksājot mācību maksu maksas rezidentiem, nereti papildus izmaksājot arī stipendijas. Turklāt, neraugoties uz to, maksas rezidents rezidentūru galvenokārt iziet publiskajās ārstniecības iestādēs. LTRK ieskatā valsts ir izveidojusi būtiskus šķēršļus jaunu darbinieku piesaistei privātajās ārstniecības iestādēs, kas arī rada papildus izdevumus.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diskriminē privāto uzņēmēju, kas pastiprina nelabvēlīgu vidi nozarē. Jaunu speciālistu piesaistei ir jābūt vienlīdzīgai gan publiskajām, gan privātajām ārstniecības iestādēm, līdzīgi kā tas ir vērojams citās nozarēs. Turklāt arī lielākā daļa privāto ārstniecības iestāžu, atbilstoši NVD iepirkumam, par identisku cenu nodrošina valsts apmaksātos veselības aprūpes pakalpojumus.Lai kaut cik esošo nevienlīdzīgo pieeju pret visiem veselības aprūpes pakalpojumu sniedzējiem padarītu vienlīdzīgāku, nediskriminējošāku starp nozares dalībniekiem un citām nozarēm, LTRK aicina Noteikumu projektā veikt sekojošu precizējumu:1. Noteikumu projekta 6.punktā precizēt Noteikumu 28.1 punktu, to izsakot sekojošā redakcijā:“attiecīgajā ārstniecības personas specialitātē Latvijas Republikā reģistrētajā ārstniecības iestādē ,vai ģimenes ārsta praksē, ar kurām Nacionālais veselības dienests ir noslēdzis līgumu par valsts apmaksāto veselības aprūpes pakalpojumu sniegšanu, vai Veselības inspekcijā, vai Slimību profilakses un kontroles centrā, vai pasniedzējs universitātē atbilstošās specialitātes jomā, vai zinātniskajā institūcijā veic zinātnisko darbu attiecīgās specialitātes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skaidro, ka norma par rezidentūras atstrādi valsts un pašvaldību ārstniecības iestādēs tika izveidota ar mērķi nodrošināt, ka jaunie speciālisti pēc valsts finansētas rezidentūras studiju absolvēšanas uzsākt darbu iegūtajā specialitātē tieši valsts un pašvaldību ārstniecības iestādēs, jo valsts un pašvaldību ārstniecības iestādes, pamatā slimnīcas, nodrošina ne tikai stacionāros un neatliekamās medicīnas palīdzības, bet arī ambulatoros veselības aprūpes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slimnīcu sniegto veselības aprūpes pakalpojumu izvērtējumu[1],  tika secināts, ka akūtas palīdzības gadījumā slimnīcas atsaka pakalpojuma sniegšanu, skaidrojot to ar speciālistu trūkumu, kā arī reģionālās slimnīcas ir pārslogotas un nespēj nodrošināt pakalpojuma kvalitāti atbilstoši slimnīcas noteiktajam līmenim.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Covid -19 izraisītā ārkārtas situācija medicīnā, īpaši 2021.gada nogalē, parādīja, ka izvēršot papildu gultas Covid-19 ārstēšanai, bija nepieciešams piesaistīt papildu ārstniecības personas stacionāro ārstniecības iestāžu veselības aprūpes pakalpojumu nodrošināšanai, kā arī rīkojoties esošo resursu ietvarā, ārstniecības personām nācās strādāt vairāk par noteiktajiem limitiem, strādāt vairāk par noteiktajām virsstundām, vienam mediķim uzņemoties kopumā lielāku slodzi[2].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Šos secinājumus apstiprina arī OECD dati[3], jo Latvijā slimnīcās ilgstoši ir nodarbināts mazāks ārstu skaits (3499 ārsti jeb 1,83 ārsti uz 1000 iedzīvotājiem), nekā vidēji citās Eiropas Savienības valstīts (2,4 ārsti uz 1000 iedzīvotājiem), piemēram, Lietuvā šis rādītājs sasniedz pat 3,11 ārstus uz 1000 iedzīvotājiem), Igaunijā attiecīgi 2,6 ārsti uz 1000 iedzīvotājiem ir nodarbināti slimnīcās.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norāda, ka, lai lemtu par būtiskām izmaiņām rezidentūras atstrādes nosacījumos vai par atteikšanos no atstrādes vispār, sākotnēji ir nepieciešama rūpīga un visaptveroša pašreizējās situācijas izpēte un analīze, ko Veselības ministrija ir uzsākusi veikt. Kā arī nepieciešams pastiprināt darba devēju lomu, veicinot, ka ārstniecības iestādes prioritāri strādā pie dažādu risinājumu ieviešanas, lai uzlabotu vidi un dara organizāciju savā iestādē, tādejādi radot maksimāli labvēlīgus apstākļus, lai ārsti pēc rezidentūras beigšanas un specialitātes sertifikāta iegūšanas izvēlētos strādāt veselības aprūpes sistēmā Latvijā tur, kur tas nepieciešams kvalitatīvu un pieejamu veselības aprūpes pakalpojumu nodrošināšanā, un varētu īstenot savu profesionālo izaugsmi un veidot profesionālo karjeru.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2021./2022.studiju gadā ir papildus 30 no valsts budžeta apmaksātās rezidentūras vietas un rezidentūras vietu skaits tiks palielinātas par 30 studiju vietām arī 2022./2023.studiju gadā. Vienlaikus Veselības ministrija ir nodrošinājusi, ka 2022.gada valsts budžetā tika piešķirti līdzekļi maksas rezidentu atalgojumam, tai skaitā privātā sektora ārstniecības iestāžu maksas rezidentu atalgojumam.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LDDK viedoklim, ka nepieciešams pārskatīt pakalpojumu tarifus un nodrošināt finansējumu atbilstošu tarifu segšanai, lai motivētu speciālistus izvēlēties strādāt stacionārās ārstniecības iestādēs, īpaši slimnīcās neatliekamās palīdzības 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sadarbībā ar iesaistītajām pusēm Veselības ministrija turpina darbu pie rezidentūras procesa pilnveides, tai skaitā ilgtermiņa risinājumiem un pēc padziļināta izvērtējuma veikšanas aicinās uz diskusiju iesaistītās puses, arī LDDK.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Izvērtējumu veica ar Veselības ministrijas 06.07.2021. rīkojumu Nr.148 “Par darba grupu stacionāro veselības aprūpes pakalpojumu profilu kritēriju izstrādei katram slimnīcu līmenim”  izveidotā darba grupa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Informatīvais ziņojums “Par papildu gultu izvēršanu un resursiem Covid-19 pacientu ārstēšanai”, izskatīts 02.11.2021. MK sēdē prot.Nr.74,  21-TA-953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Dati pieejami: https://stats.oecd.org/ ( Health Care Resources, Hospital employment), 2019.gada statistika par 18 ES dalībvalstīm un Apvienoto Karalisti.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Papildināt ar 35.</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- 17.05.2022.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uztur iebildumu attiecībā uz projekta 35.</w:t>
            </w:r>
            <w:r w:rsidR="00000000" w:rsidRPr="00000000" w:rsidDel="00000000">
              <w:rPr>
                <w:vertAlign w:val="superscript"/>
                <w:rtl w:val="0"/>
              </w:rPr>
              <w:t xml:space="preserve">1</w:t>
            </w:r>
            <w:r w:rsidR="00000000" w:rsidRPr="00000000" w:rsidDel="00000000">
              <w:rPr>
                <w:rtl w:val="0"/>
              </w:rPr>
              <w:t xml:space="preserve"> punktu, norādām, ka projektam nav pievienota izziņa, un arī projekta anotācijā nav ietverts skaidrojums, atbilstoši izteiktajam iebildumam.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35.</w:t>
            </w:r>
            <w:r w:rsidR="00000000" w:rsidRPr="00000000" w:rsidDel="00000000">
              <w:rPr>
                <w:vertAlign w:val="superscript"/>
                <w:rtl w:val="0"/>
              </w:rPr>
              <w:t xml:space="preserve">1</w:t>
            </w:r>
            <w:r w:rsidR="00000000" w:rsidRPr="00000000" w:rsidDel="00000000">
              <w:rPr>
                <w:rtl w:val="0"/>
              </w:rPr>
              <w:t xml:space="preserve"> punkts paredz noteikt, ka, </w:t>
            </w:r>
            <w:r w:rsidR="00000000" w:rsidRPr="00000000" w:rsidDel="00000000">
              <w:rPr>
                <w:b w:val="1"/>
                <w:rtl w:val="0"/>
              </w:rPr>
              <w:t xml:space="preserve">ja rezidents</w:t>
            </w:r>
            <w:r w:rsidR="00000000" w:rsidRPr="00000000" w:rsidDel="00000000">
              <w:rPr>
                <w:rtl w:val="0"/>
              </w:rPr>
              <w:t xml:space="preserve">, kura apmācība tiek finansēta no valsts budžeta līdzekļiem pārtrauc apmācību rezidentūrā no augstskolas neatkarīgu iemeslu dēļ (izņemot, ja izslēgts no studējošo saraksta nesekmības dēļ) un turpina apmācību rezidentūrā citā specialitātē (neatkarīgi no rezidentūras apmācības finansējuma avota), Veselības ministrija personai atliek šo noteikumu 34.punktā minēto saistību izpildi līdz rezidentūras vai doktorantūras studiju beigšanai </w:t>
            </w:r>
            <w:r w:rsidR="00000000" w:rsidRPr="00000000" w:rsidDel="00000000">
              <w:rPr>
                <w:b w:val="1"/>
                <w:rtl w:val="0"/>
              </w:rPr>
              <w:t xml:space="preserve">un, ja persona ir uzsākusi šo noteikumu 28. punktā minēto prasību izpildi.</w:t>
            </w:r>
            <w:r w:rsidR="00000000" w:rsidRPr="00000000" w:rsidDel="00000000">
              <w:rPr>
                <w:rtl w:val="0"/>
              </w:rPr>
              <w:t xml:space="preserve"> Projekta anotācijā tiek norādīts, ka Veselības ministrija personai atliek Noteikumu 34.punktā minēto samaksas saistību izpildi, ja persona pēc rezidentūras beigšanas izpilda Noteikumu 28.punktā minētās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nav saprotams, vai personai atbilstoši Noteikumu 35.</w:t>
            </w:r>
            <w:r w:rsidR="00000000" w:rsidRPr="00000000" w:rsidDel="00000000">
              <w:rPr>
                <w:vertAlign w:val="superscript"/>
                <w:rtl w:val="0"/>
              </w:rPr>
              <w:t xml:space="preserve">1</w:t>
            </w:r>
            <w:r w:rsidR="00000000" w:rsidRPr="00000000" w:rsidDel="00000000">
              <w:rPr>
                <w:rtl w:val="0"/>
              </w:rPr>
              <w:t xml:space="preserve"> punktā norādītajam, tiks atlikta Noteikumu 34. punktā minēto samaksas saistību izpilde, paralēli normā ietvertajām prasībām,</w:t>
            </w:r>
            <w:r w:rsidR="00000000" w:rsidRPr="00000000" w:rsidDel="00000000">
              <w:rPr>
                <w:b w:val="1"/>
                <w:rtl w:val="0"/>
              </w:rPr>
              <w:t xml:space="preserve"> ja persona jau būs uzsākusi</w:t>
            </w:r>
            <w:r w:rsidR="00000000" w:rsidRPr="00000000" w:rsidDel="00000000">
              <w:rPr>
                <w:rtl w:val="0"/>
              </w:rPr>
              <w:t xml:space="preserve"> šo noteikumu 28. punktā minēto prasību izpildi (tātad sākusi strādāt) </w:t>
            </w:r>
            <w:r w:rsidR="00000000" w:rsidRPr="00000000" w:rsidDel="00000000">
              <w:rPr>
                <w:b w:val="1"/>
                <w:rtl w:val="0"/>
              </w:rPr>
              <w:t xml:space="preserve">vai tomēr, ja persona izpildīs šīs prasības (par darba gaitu uzsākšanu) pēc rezidentūras beigšanas</w:t>
            </w:r>
            <w:r w:rsidR="00000000" w:rsidRPr="00000000" w:rsidDel="00000000">
              <w:rPr>
                <w:rtl w:val="0"/>
              </w:rPr>
              <w:t xml:space="preserve">. Atkārtoti lūdzam precizēt normu, lai būtu skaidrs un saprotams normas tiesiskais sastāvs un sekas, vienlaikus lūdzam iekļaut projekta anotācijā atbilstošu skaidrojumu.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Tieslietu ministrijas 17.05.2022. atzinumā izteiktajam iebildumam, proti, personai atbilstoši Noteikumu 35.</w:t>
            </w:r>
            <w:r w:rsidR="00000000" w:rsidRPr="00000000" w:rsidDel="00000000">
              <w:rPr>
                <w:vertAlign w:val="superscript"/>
                <w:rtl w:val="0"/>
              </w:rPr>
              <w:t xml:space="preserve">1</w:t>
            </w:r>
            <w:r w:rsidR="00000000" w:rsidRPr="00000000" w:rsidDel="00000000">
              <w:rPr>
                <w:rtl w:val="0"/>
              </w:rPr>
              <w:t xml:space="preserve"> punktā norādītajam, tiks atlikta Noteikumu 34. punktā minēto samaksas saistību izpilde, paralēli normā ietvertajām prasībām, ja persona izpildīs Noteikumu 28. punktā minēto prasību. Projekta anotācijā ir iekļauts atbilstošs skaidrojums.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Izteikt 43.</w:t>
            </w:r>
            <w:r w:rsidR="00000000" w:rsidRPr="00000000" w:rsidDel="00000000">
              <w:rPr>
                <w:vertAlign w:val="superscript"/>
                <w:rtl w:val="0"/>
              </w:rPr>
              <w:t xml:space="preserve">2</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- 17.05.2022.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43.</w:t>
            </w:r>
            <w:r w:rsidR="00000000" w:rsidRPr="00000000" w:rsidDel="00000000">
              <w:rPr>
                <w:vertAlign w:val="superscript"/>
                <w:rtl w:val="0"/>
              </w:rPr>
              <w:t xml:space="preserve">2</w:t>
            </w:r>
            <w:r w:rsidR="00000000" w:rsidRPr="00000000" w:rsidDel="00000000">
              <w:rPr>
                <w:rtl w:val="0"/>
              </w:rPr>
              <w:t xml:space="preserve"> punkts precizēts svītrojot sākotnēji paredzēto norādi uz piecu gadu periodu (</w:t>
            </w:r>
            <w:r w:rsidR="00000000" w:rsidRPr="00000000" w:rsidDel="00000000">
              <w:rPr>
                <w:i w:val="1"/>
                <w:rtl w:val="0"/>
              </w:rPr>
              <w:t xml:space="preserve">proti, ka uz šo noteikumu 42. punktā minēto personu neattiecas šo noteikumu 42. punktā ietvertās prasības, ja persona pēc rezidentūras beigšanas trīs gadus (</w:t>
            </w:r>
            <w:r w:rsidR="00000000" w:rsidRPr="00000000" w:rsidDel="00000000">
              <w:rPr>
                <w:b w:val="1"/>
                <w:i w:val="1"/>
                <w:rtl w:val="0"/>
              </w:rPr>
              <w:t xml:space="preserve">piecu gadu periodā</w:t>
            </w:r>
            <w:r w:rsidR="00000000" w:rsidRPr="00000000" w:rsidDel="00000000">
              <w:rPr>
                <w:i w:val="1"/>
                <w:rtl w:val="0"/>
              </w:rPr>
              <w:t xml:space="preserve">) strādā šo noteikumu 28.1. apakšpunktā minētajās iestādēs</w:t>
            </w:r>
            <w:r w:rsidR="00000000" w:rsidRPr="00000000" w:rsidDel="00000000">
              <w:rPr>
                <w:rtl w:val="0"/>
              </w:rPr>
              <w:t xml:space="preserve">). Lūdzam projekta anotācijā sniegt skaidrojumu kādēļ norma nesatur norādi uz piecu gadu periodu.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Tieslietu ministrijas 17.05.2022. atzinumā izteiktajam iebildumam. Norma ir precizēta un satur norādi uz piecu gadu periodu.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Papildināt ar 43.</w:t>
            </w:r>
            <w:r w:rsidR="00000000" w:rsidRPr="00000000" w:rsidDel="00000000">
              <w:rPr>
                <w:vertAlign w:val="superscript"/>
                <w:rtl w:val="0"/>
              </w:rPr>
              <w:t xml:space="preserve">5</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- 17.05.2022.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uztur iebildumu attiecībā uz projekta 43.</w:t>
            </w:r>
            <w:r w:rsidR="00000000" w:rsidRPr="00000000" w:rsidDel="00000000">
              <w:rPr>
                <w:vertAlign w:val="superscript"/>
                <w:rtl w:val="0"/>
              </w:rPr>
              <w:t xml:space="preserve">5</w:t>
            </w:r>
            <w:r w:rsidR="00000000" w:rsidRPr="00000000" w:rsidDel="00000000">
              <w:rPr>
                <w:rtl w:val="0"/>
              </w:rPr>
              <w:t xml:space="preserve">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Projekta anotācijā ietverta norāde uz tiesiskās paļāvības principu, norādot, ka Veselības ministrijas ieskatā būtiskāk ir ievērot tiesiskās paļāvības principu attiecībā uz tiem rezidentiem, kuri ir jau uzsākuši studijas rezidentūrā. Līdz ar to Noteikumu projekta 17.punkts paredz noteikt, ka rezidentiem, kuri uzsāks studijas ar 2022.gada 1.oktobri, tiks piemērota Noteikumu projekta 7.punktā noteiktā piemaksas piemērojamības kārtība. Turklāt rezidentiem, kuri uzsākuši studijas līdz 2021.gada 1.oktobrim tiek saglabāts līdzšinējais Noteikumu 20.punktā minētais nosacījums, ka rezidenta mēnešalga reģionālajā daudzprofilu slimnīcā vai daudzprofilu slimnīcā, kura sadarbojas ar reģionālo daudzprofilu slimnīcu, vai ģimenes (vispārējās prakses) ārsta praksē ārpus Rīgas ir vismaz par 30 % lielāka nekā zemākā mēnešalga, kas noteikta normatīvajos aktos par zemāko mēnešalgu un speciālo piemaksu ārstniecības personām.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atkārtoti lūdz projekta anotācijā izvērtēt tiesiskās vienlīdzības principu šāda regulējuma gadījumā. Satversmes tiesa, interpretējot Satversmes 91. pantu, ir atzinusi, ka vienlīdzības princips liedz valsts institūcijām izdot tādas normas, kas bez saprātīga pamata pieļauj atšķirīgu attieksmi pret personām, kuras atrodas vienādos un pēc noteiktiem kritērijiem salīdzināmos apstākļos (</w:t>
            </w:r>
            <w:r w:rsidR="00000000" w:rsidRPr="00000000" w:rsidDel="00000000">
              <w:rPr>
                <w:i w:val="1"/>
                <w:rtl w:val="0"/>
              </w:rPr>
              <w:t xml:space="preserve">skat. piemēram, Satversmes tiesas 2001. gada 3. aprīļa sprieduma lietā Nr. 2000-07-0409 secinājuma daļas 1. punktu un 2008. gada 29. decembra sprieduma lietā Nr. 2008-37-03 7.punktu</w:t>
            </w:r>
            <w:r w:rsidR="00000000" w:rsidRPr="00000000" w:rsidDel="00000000">
              <w:rPr>
                <w:rtl w:val="0"/>
              </w:rPr>
              <w:t xml:space="preserve">). Atšķirīgai attieksmei nav objektīva un saprātīga pamata, ja tai nav leģitīma mēŗka vai ja nav samērīgas attiecības starp izraudzītajiem līdzekļiem un nospraustajiem mērķiem (</w:t>
            </w:r>
            <w:r w:rsidR="00000000" w:rsidRPr="00000000" w:rsidDel="00000000">
              <w:rPr>
                <w:i w:val="1"/>
                <w:rtl w:val="0"/>
              </w:rPr>
              <w:t xml:space="preserve">skat. Satevrsmes tiesas 2002. gada 23. decembra sprieduma lietā Nr. 2002-15-01 secinājuma daļas 3. punktu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nav saprotams, kādēļ tiek noteikts atšķirīgs darba samaksas regulējums rezidentiem, kuri uzsāk studijas ar 2022.gada 1.oktobri, un rezidentiem, kuri uzsākuši studijas līdz 2021.gada 1.oktobrim. Tieslietu ministrijas ieskatā, nosakot atšķirīgu darba samaksas regulējumu rezidentiem, kuri uzsāk studijas ar 2022.gada 1.oktobri, un rezidentiem, kuri uzsākuši studijas līdz 2021.gada 1.oktobrim, ir jābūt skaidram tiesiskam pamatojumam, lai nepārkāptu tiesiskās vienlīdzības principu, kā arī principu, ka par vienādas nozīmes darbu personām ir tiesības saņemt vienādu atalgojumu. Ņemot vērā minēto atkātoti lūdzam projekta anotācijā ietvert pamatojumu šādam regulējumam, vienlaikus, paredzot šādu prasību, lūdzam projekta anotācijā izvērtēt arī tiesiskās vienlīdzības principu (iekļaujot objektīvu un saprātīgu pamatu, izvērtējot leģitīmu mērķi un samērīgumu).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ir  precizēta atbilstoši Tieslietu ministrijas 17.05.2022. atzinumā izteiktajam iebildumam. Norādīts tiesiskais pamatojums, lai nepārkāptu tiesiskās vienlīdzības principu, kā arī principu, ka par vienādas nozīmes darbu personām ir tiesības saņemt vienādu atalgojumu.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Rezidentu uzņemšanas, sadales un rezidentūras finansēšanas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2011. gada 30. augusta noteikumu Nr. 685 "Rezidentu uzņemšanas, sadales un rezidentūras finansēšanas kārtība" II sadaļa ietver jautājumus par rezidentūras studiju organizāciju, tostarp augstskolu pienākumus nodrošināt rezidentūras studiju iespējas ārstniecības iestādēs, kam veltīts noteikumu 12.punkts: "12. Augstskolas vismaz ķirurga, internista, pediatra, ginekologa, dzemdību speciālista un ģimenes (vispārējās prakses) ārsta rezidentūras studiju programmās piedāvā iespēju rezidentiem daļu no studiju programmas apgūt daudzprofilu slimnīcās vai ģimenes (vispārējās prakses) ārstu praksēs attiecīgajā studiju programmā ārpus Rīgas." Tomēr tas ir daudz šaurāks nekā prasības, kas noteiktas Ministru kabineta 2002. gada 23. jūlija noteikumu Nr. 315 "Izglītības programmu minimālās prasības ārsta profesionālās kvalifikācijas iegūšanai" (turpmāk - noteikumi Nr.315) 5. un 6. punktā un kas atbilst Eiropas Parlamenta un Padomes 2005.gada 7.septembra Direktīvas 2005/36/EK par profesionālo kvalifikāciju atzīšanu 25. pantam. Lūdzam precizēt noteikumu projektu, lai nodrošināt tā atbilstību noteikumiem Nr. 315.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augstskolas realizē valstī akreditētas studiju programmas. Rīgas Stradiņa universitāte realizē akreditētu studiju programmu “Rezidentūra medicīnā”[1] un Latvijas Universitāte “Medicīna”[2]. Iepriekš minēto studiju programmu izstrādē un īstenošanā ir ņemti vērā reglamentēto profesiju normatīvie akti, t.sk. noteikumi Nr.315. Bez tam Noteikumu 11.1.apakšpunkts nosaka, ka augstskolas organizē rezidentu izglītību (tai skaitā mācību ciklu rotāciju) un nodrošina apmācību saskaņā ar valsts akreditētu studiju programmu. Rezidentūras izglītības programmas praktiskās un teorētiskās daļas apguvei rezidenti piedalās visās attiecīgās nodaļas ārstniecības darbībās, tostarp dežūrās, pilnu mācību darba nedēļu un pilnu mācību gadu. Turklāt Noteikumu 12.punktā ietvertas tiesību normas nosaka, ka augstskolas atsevišķu pamatspecialitāšu rezidentūras studiju programmās piedāvā iespēju rezidentiem daļu no studiju programmas (mācību ciklu rotācija) apgūt daudzprofilu slimnīcās ārpus Rīgas vai ģimenes ārsta praksē ārpus Rīgas. Vienlaikus jāatzīmē, ka rezidentūra ir darba tiesiskajās attiecībās ar izglītības programmu īstenojošu ārstniecības iestādi esoša ārsta izglītošana valsts valodā specialitātes iegūšanai saskaņā ar akreditētu profesionālo rezidentūras izglītības programmu medicīnā[3]. Līdz ar to visiem rezidentiem ir darba līgums ar ārstniecības iestādi, kurā tiek apgūta rezidentūras izglītības programma. Lai motivētu jaunos speciālistus uzsākt darbu  specialitātē ārpus Rīgas, jau rezidentūras laikā tiek piedāvāta iespēja vismaz daļu (mācību ciklu rotācijas) iziet daudzprofilu slimnīcās vai ģimenes (vispārējās prakses) ārstu praksēs ārpus Rīgas. Līdz ar to Noteikumu 12.punktā ir dota iespēja augstskolai piedāvāt rezidentiem, kuriem ir noslēgts darba līgums ar ārstniecības iestādi Rīgā daļu no rezidentūras programmas apgūt daudzprofilu slimnīcās vai ģimenes (vispārējās prakses) ārstu praksēs ārpus Rīgas. Būtiski ir atzīmēt, ka tos, kurus mācību rotācijas ciklus rezidents var apgūt konkrētajā daudzprofilu slimnīcā vai ģimenes ārsta praksē ārpus Rīgas nosaka augstskolas rezidentūras studiju programmas vadītājs sadarbībā ar par rezidentūras organizāciju ārstniecības iestādē atbildīgo ārstu katrā specialitātē.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daudzprofilu slimnīcās ārpus Rīgas ir ķirurgs, internists, pediatrs, ginekologs, dzemdību speciālists un ģimenes praksēs - ģimenes (vispārējās prakses) ārsts līdz ar to Noteikumu 12.punktā ir ietvertas tieši šīs specialitātes.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iepriekš minēts, augstskolas realizē valstī akreditētas studiju programmas un viena no programmas apakšprogrammām ir ģimenes medicīna. Apakšprogramma ģimenes ārsta specialitātes ieguvei ietver Noteikumu Nr.315 6.punkts noteikto, ka rezidentūras izglītības programmas saturā ģimenes medicīnā (noteikumu Nr.315 4.3.9.apakšpunkts) ģimenes ārsta specialitātes apguvei praktiskās un teorētiskās daļas sadalījumā lielākā daļa ir praktiskās mācības. Vismaz sešus mēnešus ilgu praktisko daļu īsteno slimnīcā, kurā ir atbilstošs aprīkojums un tiek sniegti vispārējās ārstniecības pakalpojumi, un vismaz sešus mēnešus – ārstniecības iestādē, kurā sniedz primārās veselības aprūpes pakalpojumus, un ne ilgāk kā sešus mēnešus to var īstenot citās ārstniecības iestādēs, kurās sniedz primārās veselības aprūpes pakalpojumus. Klīnisko mācību laikā rezidentam ir personiski jāiesaistās klīnisko mācību vadītāja un citu ar klīniskajām mācībām saistīto ārstniecības personu profesionālajā darbībā un pienākumu izpildē. Studiju virzienu akreditācijas (pārakreditācijas) ietvaros kompetentās institūcijas vērtē rezidentūras studiju programmas atbilstību reglamentēto profesiju normatīvajam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augstskolas realizē akreditētas rezidentūras izglītības programmas, tas nozīmē, ka tās atbilst reglamentēto profesiju normatīvajam regulējumam, t.sk. noteikumiem Nr.315. Turklāt Noteikumi nosaka rezidentu uzņemšanas, sadales un rezidentūras finansēšanas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https://eplatforma.aika.lv/index.php?r=site%2Fprogram%2Fview&amp;id=1169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https://eplatforma.aika.lv/index.php?r=site%2Fprogram%2Fview&amp;id=1831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Ārstniecības likuma 1.panta 19.punkts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Rezidentu uzņemšanas, sadales un rezidentūras finansēšanas kārtība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attiecīgajā ārstniecības personas specialitātē Latvijas Republikas teritorijā publiskas personas izveidotā ārstniecības iestādē, ģimenes ārsta praksē, Veselības inspekcijā, Slimību profilakses un kontroles centrā, par pasniedzēju universitātē atbilstošās specialitātes jomā vai turpina studijas doktorantūrā, vai publiskas personas dibinātā zinātniskajā institūcijā veic zinātnisko darbu attiecīgās specialitātes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28.1. punktu, lai tas atbilstu Augstskolu likumā un Zinātniskās darbības likumā noteiktajai terminoloģijai – absolvents pēc studiju beigšanas var tikt nodarbināts augstskolā pedagoģiskajā vai zinātniskajā darbā nevis kā pasniedzējs vai zinātniskā darba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Augstskolu likumā noteiktais termins augstākās izglītības iestādēm ir “augstskola” un “koledža”. Augstskolu likuma 3. panta 1. daļā ir noteiktas šāda tipa augstskolas - zinātnes universitātes, mākslu un kultūras universitātes, lietišķo zinātņu universitātes un lietišķo zinātņu augstskolas. Augstskolas tipu nosaka tās dibinātājs. Lūdzam attiecīgi precizēt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skaidrot vai darbs koledžās un to atbilstošās specialitātes studiju programmās tiek atzīts šī punkta ietvaros un attiecīgi precizēt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kopš 2021. gada 16. augusta Augstskolu likums nosaka, ka visas augstskolas ir arī zinātniskās institūcijas. Ja šajā punktā domāti valsts zinātniskie institūti atbilstoši Zinātniskās darbības likumā noteiktajam, lūdzam precizēt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Izglītības un zinātnes ministrijas 25.07.2022. atzinumā izteiktajam iebildumam. Skaidrojam, ka Noteikumu 5.punktā tiek lietots saīsinājums augstskola un tas šo Noteikumu kontekstā ir attiecināms uz augstskolām, kuras īsteno augstāko profesionālo studiju programmu ārsta profesionālās kvalifikācijas iegūšanai. Ņemot vērā, ka medicīnas koledžas ir universitāšu padotībā tad darbs augstskolā pedagoģiskajā vai zinātniskajā darbā atbilstošās specialitātes jomā ietver arī pedagoģisko darbu medicīnas koledžā atbilstošās specialitātes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attiecīgajā ārstniecības personas specialitātē Latvijas Republikas teritorijā publiskas personas izveidotā ārstniecības iestādē, ģimenes ārsta praksē, Veselības inspekcijā, Slimību profilakses un kontroles centrā, nodarbināts augstskolā pedagoģiskajā vai zinātniskajā darbā atbilstošās specialitātes jomā vai turpina studijas doktorantūrā, vai valsts zinātniskā institūtā veic zinātnisko darbu attiecīgās specialitātes jomā;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Personu atbrīvo no šo noteikumu 34.punktā minētajām saistībām, ja tā šo noteikumu 28.punktā minētajā piecu gadu laikā ir kļuvusi par I vai otrās II grupas personu ar invaliditāti.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 "otrās", jo invaliditātes grupa ir jau norādīta ar romiešu cipariem.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Personu atbrīvo no šo noteikumu 34.punktā minētajām saistībām, ja tā šo noteikumu 28.punktā minētajā piecu gadu laikā ir kļuvusi par I vai II grupas personu ar invaliditāti.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Labklājības ministrijas 16.05.2022. atzinumā izteiktajam iebildumam, proti, svītrots vārds “otrās”. Kā arī veikts redakcionāls precizējums saskaņā ar Finanšu ministrijas 16.05.2022. atzinumā izteikto priekšlikumu, ka atbilstoši Valsts sociālo pabalstu likuma 13.panta (13) daļai tiek lietots termins “persona ar I vai II grupas invaliditāti”.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Personu atbrīvo no šo noteikumu 34.punktā minētajām saistībām, ja tā šo noteikumu 28.punktā minētajā piecu gadu laikā ir kļuvusi par personu ar I vai II grupas invaliditāti.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2</w:t>
            </w:r>
            <w:r w:rsidR="00000000" w:rsidRPr="00000000" w:rsidDel="00000000">
              <w:rPr>
                <w:rtl w:val="0"/>
              </w:rPr>
              <w:t xml:space="preserve"> Šo noteikumu 28.punktā minēto piecu gadu periodu pagarina par laikposmu, kurā, persona nav veikusi darbu attaisnojošu iemeslu dēļ saskaņā ar Darba likuma 152. pantu (grūtniecības un dzemdību atvaļinājuma laiks, atvaļinājums bērna tēvam, adoptētājiem u.c.).</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likuma 152.pants noteic, kādus laika posmus ieskaita vai neieskaita laikā, kas dod tiesības uz ikgadējo apmaksāto atvaļinājumu. Konkrētā panta otrā daļa noteic, ka ir divi gadījumi, kad darbinieks, neskatoties uz to, ka viņš ir darba attiecībās, faktiski "nenopelna" ikgadējo atvaļinājumu, un tie ir bērna kopšanas atvaļinājums un atvaļinājums bez darba samaksas saglabāšanas, kas ir ilgāks par četrām nedēļām. Viss pārējais laiks - gan reāli strādātais, gan arī dažādas attaisnotas prombūtnes ir tas laiks, kas tiek ieskaitīts laikā, kurš rada tiesības uz ikgadējo apmaksāto atvaļinājumu.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šobrīd piedāvātās redakcijas varētu secināt, ka atsauce uz Darba likuma 152.pantu tiek izmantota, lai it kā dotu atsauci ir dažāda veida attaisnotām prombūtnēm. Tomēr vēlamies vērst Jūsu uzmanību uz to, ka tā šis konkrētais Darba likuma pants nav tulkojams, jo Darba likumā ir arī citi panti, kuros tiek atrunātas dažāda veida prombūtnes, piemēram, Darba likuma 74.pants.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noteiktu skaidrāku un nepārprotamu regulējumu, aicinām Jūs konkrēti minēt šajā punktā tās darbinieka prombūtnes, kuras pagarina darbinieka pienākumu atstrādāt apmaksātās mācības.Vienlaikus lūdzam izvērtēt, vai tiešām tādas īslaicīgās prombūtnes kā, piemēram, 10 dienas ilgais atvaļinājums bērna tēvam, pagarina t.s. atstrādāšanas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izvērtējot Noteikumu projektā ietvertās tiesību normas, secinām, ka nav nepieciešams Noteikumu projektā ietvert tiesību normu, kas noteiktu, ka Noteikumu 28.punktā minēto periodu pagarina par laikposmu, kurā, persona ir atradusies grūtniecības, dzemdību atvaļinājumā un īslaicīgā prombūtnē. Skaidrojam, ka Noteikumu projektā nosakot, ka trīs gadu atstrādi var veikt piecu gadu periodā, tiek pieļauta iespēja pēc rezidentūras beigšanas izmantot grūtniecības, dzemdību atvaļinājumu un bērna kopšanas atvaļinājumu.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2011. gada 30. augusta noteikumos Nr. 685 "Rezidentu uzņemšanas, sadales un rezidentūras finansēšanas kārtība" (Latvijas Vēstnesis, 2011, 140. nr.; 2013, 122. nr.; 2016, 62., 245. nr.; 2018, 78., 251. nr.; 2019, 12., 251. nr.; 2020, 31., 248. nr.; 2021, 27. nr.; 2022, 14., 29.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- 17.05.2022.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projekts ir atsūtīts ar jaunu TA lietas ID, kā jauns projekts, taču minētais projekts ir precizēts. Projektam nav pievienota izziņa, ar Tieslietu ministrijas un citu institūciju izteiktajiem iebildumiem, attiecīgi lūdzam pievienot projektam izziņu.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kancelejas ieteikumu tika izveidots jauns tiesību aktu projekts 22-TA-1407, lai nodrošinātu, ka tiesību aktu projektā TAP tiek ielasīta Noteikumu jaunākā versija (Noteikumu projekta 22-TA-242 izstrādes laikā tika apstiprināti grozījumi Noteikumos). Līdz ar to Tieslietu ministrijas un citu institūciju izteiktie iebildumi un izziņa (22-TA-242) ir skatāma 22-TA-1407 saistītajos 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35.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Valsts sociālo pabalstu likuma 13.panta (1</w:t>
            </w:r>
            <w:r w:rsidR="00000000" w:rsidRPr="00000000" w:rsidDel="00000000">
              <w:rPr>
                <w:vertAlign w:val="superscript"/>
                <w:rtl w:val="0"/>
              </w:rPr>
              <w:t xml:space="preserve">3</w:t>
            </w:r>
            <w:r w:rsidR="00000000" w:rsidRPr="00000000" w:rsidDel="00000000">
              <w:rPr>
                <w:rtl w:val="0"/>
              </w:rPr>
              <w:t xml:space="preserve">) daļai tiek lietots termins “persona ar I vai II grupas invaliditāti”, lūdzam redakcionāli precizēt noteikumu projekta 11.punktu.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Finanšu ministrijas 16.05.2022. atzinumā izteiktajam priekšlikumam.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Papildināt ar 43.</w:t>
            </w:r>
            <w:r w:rsidR="00000000" w:rsidRPr="00000000" w:rsidDel="00000000">
              <w:rPr>
                <w:vertAlign w:val="superscript"/>
                <w:rtl w:val="0"/>
              </w:rPr>
              <w:t xml:space="preserve">6</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19.punktu, kas paredz papildināt Ministru kabineta 2011.gada 30.augusta noteikumus Nr.685 “Rezidentu uzņemšanas, sadales un rezidentūras finansēšanas kārtība” ar 43.</w:t>
            </w:r>
            <w:r w:rsidR="00000000" w:rsidRPr="00000000" w:rsidDel="00000000">
              <w:rPr>
                <w:vertAlign w:val="superscript"/>
                <w:rtl w:val="0"/>
              </w:rPr>
              <w:t xml:space="preserve">6</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Finanšu ministrijas 16.05.2022. izteiktajam priekšlikumam.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Papildināt ar 43.</w:t>
            </w:r>
            <w:r w:rsidR="00000000" w:rsidRPr="00000000" w:rsidDel="00000000">
              <w:rPr>
                <w:vertAlign w:val="superscript"/>
                <w:rtl w:val="0"/>
              </w:rPr>
              <w:t xml:space="preserve">6</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- 17.05.2022.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43.</w:t>
            </w:r>
            <w:r w:rsidR="00000000" w:rsidRPr="00000000" w:rsidDel="00000000">
              <w:rPr>
                <w:vertAlign w:val="superscript"/>
                <w:rtl w:val="0"/>
              </w:rPr>
              <w:t xml:space="preserve">6</w:t>
            </w:r>
            <w:r w:rsidR="00000000" w:rsidRPr="00000000" w:rsidDel="00000000">
              <w:rPr>
                <w:rtl w:val="0"/>
              </w:rPr>
              <w:t xml:space="preserve"> punktu, lai būtu skaidra normas piemērojamība. Norādām, ka normas formulējums nav precīzs, proti, iesakām nenorādīt normā, ka attiecībā uz personu piemēro grozījumus.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Tieslietu ministrijas 17.05.2022. atzinumā izteiktajam priekšlikumam.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Izteikt 35.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Valsts sociālo pabalstu likuma 13.panta (13) daļai tiek lietots termins “persona ar I vai II grupas invaliditāti”, lūdzam redakcionāli precizēt noteikumu projekta 13.punktu.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Finanšu ministrijas 25.07.2022. atzinumā izteiktajam priekšlikumam.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anotācijā norādītās atsauces uz noteikumu projekta punktiem, kā piemēram, noteikumu projekta 10.punkts paredz papildināt Ministru kabineta 2011.gada 30.augusta noteikumus Nr.685 “Rezidentu uzņemšanas, sadales un rezidentūras finansēšanas kārtība” ar 28.</w:t>
            </w:r>
            <w:r w:rsidR="00000000" w:rsidRPr="00000000" w:rsidDel="00000000">
              <w:rPr>
                <w:vertAlign w:val="superscript"/>
                <w:rtl w:val="0"/>
              </w:rPr>
              <w:t xml:space="preserve">1</w:t>
            </w:r>
            <w:r w:rsidR="00000000" w:rsidRPr="00000000" w:rsidDel="00000000">
              <w:rPr>
                <w:rtl w:val="0"/>
              </w:rPr>
              <w:t xml:space="preserve"> punktu, savukārt anotācijas 1.3.sadaļas “Pašreizējā situācija, problēmas un risinājumi” apakšsadaļā “Risinājuma apraksts” (7.lpp.) norādīts, ka attiecībā par minēto apakšpunktu informācija ir noteikumu projekta 9.punktā., u.c.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atbilstoši Finanšu ministrijas 16.05.2022. atzinumā izteiktajam priekšlikumam, proti, anotācijā ir salāgotas atsauces uz noteikumu projekta punktiem.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anotācijas 1.3.sadaļas “Pašreizējā situācija, problēmas un risinājumi” apakšsadaļā “Problēmas apraksts” (9.lpp.) lietoto vārdu “izglīgumu”.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precizēta atbilstoši Finanšu ministrijas 16.05.2022. atzinumā izteiktajam priekšlikumam.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Veselības ministrija slēdz izlīgumu ar rezidentu, ja rezidents apņemas pabeigt uzsāktās rezidentūras studijas (ir mainījis specialitāti) un nostrādāt trīs gadus publiskajā sektorā. Veselības ministrijas neatprasa izlietotos budžeta līdzekļus par specialitāti, kurā pārtrauca apmācību rezidentūrā.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Rezidentam, kuram ir darba līgums ar reģionālo daudzprofilu slimnīcu vai daudzprofilu slimnīcu, kura sadarbojas ar reģionālo daudzprofilu slimnīcu, specializēto slimnīcu ārpus Rīgas, vai ģimenes (vispārējās prakses) ārsta praksi ārpus Rīgas nosaka piemaksu par darbu vismaz 30 % apmērā no zemākās mēnešalgas, kas noteikta normatīvajos aktos par zemāko mēnešalgu un speciālo piemaksu ārstniecības personām. Piemaksu attiecīgajā mēnesī piešķir, ja minētajā ārstniecības iestādē ir secīgi nostrādāts ne mazāk kā viens pilns kalendārais mēnesis.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attiecību būtiskās sastāvdaļas ir darba līguma noslēgšana, kā arī darba samaksas izmaksa par noteikta veida darbu veikšanu darba devēja vadībā. Savukārt piemaksa tiek maksāta kā papildus atlīdzība par kādu konkrētu apstākļu iestāšanos, piemēram, piemaksa par darbu īpašos apstākļos vai arī papildus darbu,ko darbinieks ir uzņēmies papildus saviem tiešajiem pienākumiem. Līdz ar to, aicinām precizēt normu, norādot, ka piemaksa ir par darbu konkrēta vai noteikta līmeņa ārstniecības iestādē, nevis vienkārši par darbu. Ja tā ir piemaksa par darbu kā tāda, tad tā drīzāk būtu iekļaujama darba algā.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arī anotācijā ietvert informāciju par šī regulējuma korelāciju ar vispārējo regulējumu darba samaksas jomā valsts un pašvaldību iestādēs.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Labklājības ministrijas 16.05.2022. atzinumā izteiktajam priekšlikumam, proti, piemaksa tiek maksāta par darbu reģionā ārpus Rīgas.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Rezidentam, kuram ir darba līgums ar reģionālo daudzprofilu slimnīcu un specializēto slimnīcu ārpus Rīgas, vai daudzprofilu slimnīcu ārpus Rīgas, kura sadarbojas ar reģionālo daudzprofilu slimnīcu, vai ģimenes (vispārējās prakses) ārsta praksi ārpus Rīgas, nosaka piemaksu par darbu (tai skaitā dežūras) reģionā ārpus Rīgas vismaz 30 % apmērā no zemākās mēnešalgas, kas noteikta normatīvajos aktos par zemāko mēnešalgu un speciālo piemaksu ārstniecības personām. Šajā punktā minēto piemaksu par darbu reģionā ārpus Rīgas, tai skaitā dežūrām, reģionā ārpus Rīgas aprēķina no attiecīgajā mēnesī nostrādāto stundu skaita ārstniecības iestādē ārpus Rīgas.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Persona, kuras apmācība rezidentūrā finansēta no valsts budžeta līdzekļiem, piecu gadu laikā pēc rezidentūras beigšanas trīs gadus normālā darba laika ietvaros (arī skaitot summāri) strādā: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- 16.05.2022.)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tekstu, jo no šī brīža redakcijas īsti nav skaidrs, uz ko attiecas summēšana. Līdz ar, aicinām projekta tekstā precīzi noteikt, ka trīs gadu periodu var skaitīt arī, summējot nodarbinātību pie dažādiem darba devējiem blakus darba ietvaros vai arī pie viena darba devēja papildus darba ietvaros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tiek sniegts skaidrojums, ja ārstniecības iestāde nevar nodrošināt speciālistam šāda apjoma darbu, tad persona ir tiesīga strādāt (savā specialitātē) papildu vēl kādā citā ārstniecības iestādē, tādējādi summējot normālā darba laika stundu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Persona, kuras apmācība rezidentūrā finansēta no valsts budžeta līdzekļiem, piecu gadu laikā pēc rezidentūras beigšanas trīs gadus normālā darba laika ietvaros (arī skaitot summāri) ir darba tiesiskajās attiecībās: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22-TA-1407</w:t>
    </w:r>
    <w:r>
      <w:br/>
    </w:r>
    <w:r w:rsidR="00000000" w:rsidRPr="00000000" w:rsidDel="00000000">
      <w:rPr>
        <w:rtl w:val="0"/>
      </w:rPr>
      <w:t xml:space="preserve">03.08.2022. 19.24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22-TA-1407</w:t>
    </w:r>
    <w:r>
      <w:br/>
    </w:r>
    <w:r w:rsidR="00000000" w:rsidRPr="00000000" w:rsidDel="00000000">
      <w:rPr>
        <w:rtl w:val="0"/>
      </w:rPr>
      <w:t xml:space="preserve">03.08.2022. 19.24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Izziņa_22-TA-1407.docx</dc:title>
</cp:coreProperties>
</file>

<file path=docProps/custom.xml><?xml version="1.0" encoding="utf-8"?>
<Properties xmlns="http://schemas.openxmlformats.org/officeDocument/2006/custom-properties" xmlns:vt="http://schemas.openxmlformats.org/officeDocument/2006/docPropsVTypes"/>
</file>