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94C8E" w14:textId="77777777" w:rsidR="00E67410" w:rsidRDefault="00E67410" w:rsidP="00E67410">
      <w:pPr>
        <w:spacing w:after="0" w:line="240" w:lineRule="auto"/>
        <w:jc w:val="right"/>
        <w:rPr>
          <w:b/>
          <w:bCs/>
          <w:sz w:val="23"/>
          <w:szCs w:val="23"/>
        </w:rPr>
      </w:pPr>
    </w:p>
    <w:p w14:paraId="69E50AAB" w14:textId="7851925F" w:rsidR="00E67410" w:rsidRPr="00214DB1" w:rsidRDefault="00E67410" w:rsidP="00E67410">
      <w:pPr>
        <w:spacing w:after="0" w:line="240" w:lineRule="auto"/>
        <w:jc w:val="right"/>
        <w:rPr>
          <w:b/>
          <w:bCs/>
        </w:rPr>
      </w:pPr>
      <w:r w:rsidRPr="00214DB1">
        <w:rPr>
          <w:b/>
          <w:bCs/>
          <w:sz w:val="23"/>
          <w:szCs w:val="23"/>
        </w:rPr>
        <w:t>Ekonomikas ministrijai</w:t>
      </w:r>
    </w:p>
    <w:p w14:paraId="12D744E0" w14:textId="77777777" w:rsidR="00E67410" w:rsidRPr="00214DB1" w:rsidRDefault="00E67410" w:rsidP="00E67410">
      <w:pPr>
        <w:spacing w:after="0" w:line="240" w:lineRule="auto"/>
        <w:jc w:val="right"/>
      </w:pPr>
    </w:p>
    <w:p w14:paraId="6779F76D" w14:textId="77777777" w:rsidR="00E67410" w:rsidRPr="00214DB1" w:rsidRDefault="00E67410" w:rsidP="00E67410">
      <w:pPr>
        <w:tabs>
          <w:tab w:val="left" w:pos="4536"/>
        </w:tabs>
        <w:spacing w:after="0" w:line="240" w:lineRule="auto"/>
        <w:ind w:right="4690"/>
        <w:jc w:val="both"/>
        <w:rPr>
          <w:color w:val="000000"/>
          <w:sz w:val="23"/>
          <w:szCs w:val="23"/>
        </w:rPr>
      </w:pPr>
      <w:r w:rsidRPr="00214DB1">
        <w:rPr>
          <w:color w:val="000000"/>
          <w:sz w:val="23"/>
          <w:szCs w:val="23"/>
        </w:rPr>
        <w:t>Par publisko būvdarbu iepirkumu sadārdzināšanos</w:t>
      </w:r>
    </w:p>
    <w:p w14:paraId="4D15F753" w14:textId="77777777" w:rsidR="00E67410" w:rsidRPr="00214DB1" w:rsidRDefault="00E67410" w:rsidP="00E67410">
      <w:pPr>
        <w:spacing w:after="0" w:line="240" w:lineRule="auto"/>
        <w:ind w:firstLine="720"/>
        <w:jc w:val="both"/>
        <w:rPr>
          <w:b/>
          <w:color w:val="000000"/>
          <w:sz w:val="23"/>
          <w:szCs w:val="23"/>
        </w:rPr>
      </w:pPr>
    </w:p>
    <w:p w14:paraId="5EBE061D" w14:textId="77777777" w:rsidR="00E67410" w:rsidRPr="00214DB1" w:rsidRDefault="00E67410" w:rsidP="00E67410">
      <w:pPr>
        <w:spacing w:after="0" w:line="240" w:lineRule="auto"/>
        <w:ind w:firstLine="567"/>
        <w:jc w:val="both"/>
      </w:pPr>
      <w:r w:rsidRPr="00214DB1">
        <w:t>Satiksmes ministrija (turpmāk – Ministrija) Vienotajā tiesību aktu izstrādes un saskaņošanas portālā (turpmāk – TAP portāls) ir saņēmusi Ministru prezidenta 2022. gada 2. jūnija uzdevumu Nr.22-UZD-603 (turpmāk – Uzdevums), ar kuru Ministru prezidents uzdod cita starpā arī Ministrijai kā līdzatbildīgajai institūcijai iepazīties ar Saeimas Tautsaimniecības, agrārās, vides un reģionālās politikas komisijas (turpmāk – Komisija) 2022. gada 27. maija vēstuli Nr. 142.9/8-8-13/22 (turpmāk – Vēstule) un kopīgi ar Ekonomikas ministriju (turpmāk - EM) un citām iesaistītajām ministrijām (Finanšu ministrija, Vides aizsardzības un reģionālās attīstības ministrija) sagatavot atbildes projektu Komisijai.</w:t>
      </w:r>
    </w:p>
    <w:p w14:paraId="3AFD7402" w14:textId="77777777" w:rsidR="00E67410" w:rsidRPr="00214DB1" w:rsidRDefault="00E67410" w:rsidP="00E67410">
      <w:pPr>
        <w:spacing w:after="0" w:line="240" w:lineRule="auto"/>
        <w:ind w:firstLine="567"/>
        <w:jc w:val="both"/>
        <w:rPr>
          <w:color w:val="000000"/>
        </w:rPr>
      </w:pPr>
      <w:r w:rsidRPr="00214DB1">
        <w:rPr>
          <w:color w:val="000000"/>
        </w:rPr>
        <w:t>Ministrija, izpildot</w:t>
      </w:r>
      <w:r w:rsidRPr="00214DB1">
        <w:t xml:space="preserve"> </w:t>
      </w:r>
      <w:r w:rsidRPr="00214DB1">
        <w:rPr>
          <w:color w:val="000000"/>
        </w:rPr>
        <w:t>Ministru prezidenta Uzdevumu, ir iepazinusies ar Komisijas Vēstuli un savas kompetences ietvaros sniedz Ekonomikas ministrijai šādu informāciju.</w:t>
      </w:r>
    </w:p>
    <w:p w14:paraId="285832AA" w14:textId="77777777" w:rsidR="00E67410" w:rsidRPr="00214DB1" w:rsidRDefault="00E67410" w:rsidP="00E67410">
      <w:pPr>
        <w:spacing w:after="0" w:line="240" w:lineRule="auto"/>
        <w:ind w:firstLine="567"/>
        <w:jc w:val="both"/>
      </w:pPr>
      <w:r w:rsidRPr="00214DB1">
        <w:t xml:space="preserve">Lai nodrošinātu Ministrijas funkciju izpildi, kā to nosaka Ministrijas nolikuma 5.25. apakšpunkts, Ministrija cita starpā koordinē </w:t>
      </w:r>
      <w:r w:rsidRPr="00214DB1">
        <w:rPr>
          <w:i/>
          <w:iCs/>
        </w:rPr>
        <w:t>Rail Baltica</w:t>
      </w:r>
      <w:r w:rsidRPr="00214DB1">
        <w:t xml:space="preserve"> valsts publiskās lietošanas dzelzceļa infrastruktūras projekta īstenošanu līdz projekta realizācijai un, noslēdzot deleģēšanas līgumu ar sabiedrību ar ierobežotu atbildību "Eiropas dzelzceļa līnijas" (turpmāk – EDZL) un izsniedzot pilnvaru RB Rail AS (turpmāk – RBR), deleģē tām organizēt infrastruktūras objekta izveidi. Attiecībā uz Latvijā īstenotajām </w:t>
      </w:r>
      <w:r w:rsidRPr="00214DB1">
        <w:rPr>
          <w:i/>
        </w:rPr>
        <w:t xml:space="preserve">Rail </w:t>
      </w:r>
      <w:proofErr w:type="spellStart"/>
      <w:r w:rsidRPr="00214DB1">
        <w:rPr>
          <w:i/>
        </w:rPr>
        <w:t>Baltica</w:t>
      </w:r>
      <w:proofErr w:type="spellEnd"/>
      <w:r w:rsidRPr="00214DB1">
        <w:t xml:space="preserve"> projekta aktivitātēm ar Ministru kabineta 2016. gada 24. augusta rīkojumu Nr. 468 “Par nacionālo interešu objekta statusa noteikšanu Eiropas standarta platuma publiskās lietošanas dzelzceļa infrastruktūrai </w:t>
      </w:r>
      <w:r w:rsidRPr="00214DB1">
        <w:rPr>
          <w:i/>
        </w:rPr>
        <w:t xml:space="preserve">Rail </w:t>
      </w:r>
      <w:proofErr w:type="spellStart"/>
      <w:r w:rsidRPr="00214DB1">
        <w:rPr>
          <w:i/>
        </w:rPr>
        <w:t>Baltica</w:t>
      </w:r>
      <w:proofErr w:type="spellEnd"/>
      <w:r w:rsidRPr="00214DB1">
        <w:t xml:space="preserve">” </w:t>
      </w:r>
      <w:r w:rsidRPr="00214DB1">
        <w:rPr>
          <w:i/>
        </w:rPr>
        <w:t xml:space="preserve">Rail </w:t>
      </w:r>
      <w:proofErr w:type="spellStart"/>
      <w:r w:rsidRPr="00214DB1">
        <w:rPr>
          <w:i/>
        </w:rPr>
        <w:t>Baltica</w:t>
      </w:r>
      <w:proofErr w:type="spellEnd"/>
      <w:r w:rsidRPr="00214DB1">
        <w:t xml:space="preserve"> projektam noteikts nacionālo interešu objekta statuss.</w:t>
      </w:r>
    </w:p>
    <w:p w14:paraId="5A9C779A" w14:textId="77777777" w:rsidR="00E67410" w:rsidRPr="00214DB1" w:rsidRDefault="00E67410" w:rsidP="00E67410">
      <w:pPr>
        <w:spacing w:after="0" w:line="240" w:lineRule="auto"/>
        <w:ind w:firstLine="567"/>
        <w:jc w:val="both"/>
        <w:rPr>
          <w:rFonts w:eastAsia="Times New Roman"/>
        </w:rPr>
      </w:pPr>
      <w:r w:rsidRPr="00214DB1">
        <w:rPr>
          <w:i/>
          <w:iCs/>
        </w:rPr>
        <w:t xml:space="preserve">Rail </w:t>
      </w:r>
      <w:proofErr w:type="spellStart"/>
      <w:r w:rsidRPr="00214DB1">
        <w:rPr>
          <w:i/>
          <w:iCs/>
        </w:rPr>
        <w:t>Baltica</w:t>
      </w:r>
      <w:proofErr w:type="spellEnd"/>
      <w:r w:rsidRPr="00214DB1">
        <w:t xml:space="preserve"> projekta stratēģisko nozīmīgumu reģiona un Eiropas Savienības transporta tīkla attīstībai apliecina Eiropas Savienības normatīvie akti, kā arī ar Eiropas Klimata, infrastruktūras un vides </w:t>
      </w:r>
      <w:proofErr w:type="spellStart"/>
      <w:r w:rsidRPr="00214DB1">
        <w:t>izpildaģentūru</w:t>
      </w:r>
      <w:proofErr w:type="spellEnd"/>
      <w:r w:rsidRPr="00214DB1">
        <w:t xml:space="preserve"> (turpmāk – CINEA) noslēgtie starptautiskie finansēšanas līgumi. </w:t>
      </w:r>
      <w:r w:rsidRPr="00214DB1">
        <w:rPr>
          <w:i/>
          <w:iCs/>
        </w:rPr>
        <w:t xml:space="preserve">Rail </w:t>
      </w:r>
      <w:proofErr w:type="spellStart"/>
      <w:r w:rsidRPr="00214DB1">
        <w:rPr>
          <w:i/>
          <w:iCs/>
        </w:rPr>
        <w:t>Baltica</w:t>
      </w:r>
      <w:proofErr w:type="spellEnd"/>
      <w:r w:rsidRPr="00214DB1">
        <w:t xml:space="preserve"> projekts, izbūvējot Eiropas standarta platuma ātrgaitas dzelzceļa līniju, kas savienos trīs Baltijas valstis, tiek īstenots kā kopīgu interešu projekts Eiropas Parlamenta un Padomes 2013. gada 11. decembra Regulas Nr. 1315/2013 par Savienības pamatnostādnēm Eiropas transporta tīkla attīstībai un ar ko atceļ Lēmumu Nr. 661/2010/ES (turpmāk – Regula Nr. 1315/2013)</w:t>
      </w:r>
      <w:r w:rsidRPr="00214DB1">
        <w:rPr>
          <w:rStyle w:val="FootnoteReference"/>
        </w:rPr>
        <w:footnoteReference w:id="1"/>
      </w:r>
      <w:r w:rsidRPr="00214DB1">
        <w:t xml:space="preserve"> izpratnē, izveidojot trūkstošo posmu </w:t>
      </w:r>
      <w:r w:rsidRPr="00214DB1">
        <w:rPr>
          <w:rFonts w:eastAsia="Times New Roman"/>
        </w:rPr>
        <w:t xml:space="preserve">Eiropas Savienības transporta tīklā (turpmāk – </w:t>
      </w:r>
      <w:r w:rsidRPr="00214DB1">
        <w:t xml:space="preserve">TEN-T tīkls). </w:t>
      </w:r>
      <w:r w:rsidRPr="00214DB1">
        <w:rPr>
          <w:rFonts w:eastAsia="Times New Roman"/>
        </w:rPr>
        <w:t xml:space="preserve">Eiropas Komisijas 2018. gada 26. oktobra Īstenošanas lēmums Nr. 2018/1723 par pārrobežu projektu </w:t>
      </w:r>
      <w:r w:rsidRPr="00214DB1">
        <w:rPr>
          <w:rFonts w:eastAsia="Times New Roman"/>
          <w:i/>
          <w:iCs/>
        </w:rPr>
        <w:t xml:space="preserve">Rail </w:t>
      </w:r>
      <w:proofErr w:type="spellStart"/>
      <w:r w:rsidRPr="00214DB1">
        <w:rPr>
          <w:rFonts w:eastAsia="Times New Roman"/>
          <w:i/>
          <w:iCs/>
        </w:rPr>
        <w:t>Baltica</w:t>
      </w:r>
      <w:proofErr w:type="spellEnd"/>
      <w:r w:rsidRPr="00214DB1">
        <w:rPr>
          <w:rFonts w:eastAsia="Times New Roman"/>
        </w:rPr>
        <w:t xml:space="preserve"> Ziemeļjūras – Baltijas jūras pamattīkla koridorā (turpmāk – Lēmums Nr. 2018/1723) nosaka </w:t>
      </w:r>
      <w:r w:rsidRPr="00214DB1">
        <w:rPr>
          <w:rFonts w:eastAsia="Times New Roman"/>
          <w:i/>
          <w:iCs/>
        </w:rPr>
        <w:t xml:space="preserve">Rail </w:t>
      </w:r>
      <w:proofErr w:type="spellStart"/>
      <w:r w:rsidRPr="00214DB1">
        <w:rPr>
          <w:rFonts w:eastAsia="Times New Roman"/>
          <w:i/>
          <w:iCs/>
        </w:rPr>
        <w:t>Baltica</w:t>
      </w:r>
      <w:proofErr w:type="spellEnd"/>
      <w:r w:rsidRPr="00214DB1">
        <w:rPr>
          <w:rFonts w:eastAsia="Times New Roman"/>
        </w:rPr>
        <w:t xml:space="preserve"> projekta (Tallina–Pērnava–Rīga–Panevēža–Kauņa–Varšava, ar savienojumu ar Viļņu) īstenošanas grafiku, paredzot attiecīgus pārvaldības noteikumus.</w:t>
      </w:r>
      <w:r w:rsidRPr="00214DB1">
        <w:rPr>
          <w:rStyle w:val="FootnoteReference"/>
          <w:rFonts w:eastAsia="Times New Roman"/>
        </w:rPr>
        <w:footnoteReference w:id="2"/>
      </w:r>
      <w:r w:rsidRPr="00214DB1">
        <w:t xml:space="preserve"> </w:t>
      </w:r>
      <w:r w:rsidRPr="00214DB1">
        <w:rPr>
          <w:i/>
          <w:iCs/>
        </w:rPr>
        <w:t xml:space="preserve">Rail </w:t>
      </w:r>
      <w:proofErr w:type="spellStart"/>
      <w:r w:rsidRPr="00214DB1">
        <w:rPr>
          <w:i/>
          <w:iCs/>
        </w:rPr>
        <w:t>Baltica</w:t>
      </w:r>
      <w:proofErr w:type="spellEnd"/>
      <w:r w:rsidRPr="00214DB1">
        <w:t xml:space="preserve"> projekta īstenošanai (tostarp būvniecībai) saskaņā ar attiecīgajā brīdī spēkā esošām regulām</w:t>
      </w:r>
      <w:r w:rsidRPr="00214DB1">
        <w:rPr>
          <w:rStyle w:val="FootnoteReference"/>
          <w:rFonts w:eastAsia="Times New Roman"/>
        </w:rPr>
        <w:footnoteReference w:id="3"/>
      </w:r>
      <w:r w:rsidRPr="00214DB1">
        <w:t xml:space="preserve"> pakāpeniski tiek piešķirts </w:t>
      </w:r>
      <w:r w:rsidRPr="00214DB1">
        <w:rPr>
          <w:rFonts w:eastAsia="Times New Roman"/>
        </w:rPr>
        <w:t>Eiropas infrastruktūras savienošanas instrumentā (turpmāk – EISI) pieejamais finansējums 85% apmērā.</w:t>
      </w:r>
    </w:p>
    <w:p w14:paraId="3FA5329A" w14:textId="77777777" w:rsidR="00E67410" w:rsidRPr="00214DB1" w:rsidRDefault="00E67410" w:rsidP="00E67410">
      <w:pPr>
        <w:spacing w:after="0" w:line="240" w:lineRule="auto"/>
        <w:ind w:firstLine="567"/>
        <w:jc w:val="both"/>
        <w:rPr>
          <w:rFonts w:eastAsia="Times New Roman"/>
        </w:rPr>
      </w:pPr>
      <w:r w:rsidRPr="00214DB1">
        <w:rPr>
          <w:rFonts w:eastAsia="Times New Roman"/>
        </w:rPr>
        <w:t xml:space="preserve">Par Latvijā īstenojamo </w:t>
      </w:r>
      <w:r w:rsidRPr="00214DB1">
        <w:rPr>
          <w:rFonts w:eastAsia="Times New Roman"/>
          <w:i/>
          <w:iCs/>
        </w:rPr>
        <w:t xml:space="preserve">Rail </w:t>
      </w:r>
      <w:proofErr w:type="spellStart"/>
      <w:r w:rsidRPr="00214DB1">
        <w:rPr>
          <w:rFonts w:eastAsia="Times New Roman"/>
          <w:i/>
          <w:iCs/>
        </w:rPr>
        <w:t>Baltica</w:t>
      </w:r>
      <w:proofErr w:type="spellEnd"/>
      <w:r w:rsidRPr="00214DB1">
        <w:rPr>
          <w:rFonts w:eastAsia="Times New Roman"/>
          <w:i/>
          <w:iCs/>
        </w:rPr>
        <w:t xml:space="preserve"> </w:t>
      </w:r>
      <w:r w:rsidRPr="00214DB1">
        <w:rPr>
          <w:rFonts w:eastAsia="Times New Roman"/>
        </w:rPr>
        <w:t xml:space="preserve">projekta būvniecības aktivitāti līdz 2022. gada 24. februārim ir noslēgti būvdarbu līgumi kopējā summā par vairāk nekā 600 miljoniem </w:t>
      </w:r>
      <w:proofErr w:type="spellStart"/>
      <w:r w:rsidRPr="00214DB1">
        <w:rPr>
          <w:rFonts w:eastAsia="Times New Roman"/>
          <w:i/>
          <w:iCs/>
        </w:rPr>
        <w:t>euro</w:t>
      </w:r>
      <w:proofErr w:type="spellEnd"/>
      <w:r w:rsidRPr="00214DB1">
        <w:rPr>
          <w:rFonts w:eastAsia="Times New Roman"/>
        </w:rPr>
        <w:t>.</w:t>
      </w:r>
      <w:r w:rsidRPr="00214DB1">
        <w:t xml:space="preserve"> </w:t>
      </w:r>
      <w:r w:rsidRPr="00214DB1">
        <w:rPr>
          <w:rFonts w:eastAsia="Times New Roman"/>
        </w:rPr>
        <w:t xml:space="preserve">2020. gada novembra beigās tika uzsākti Centrālā mezgla būvdarbi Rīgā, kas ietver Rīgas Centrālās dzelzceļa stacijas kompleksa un pieguļošās infrastruktūras (turpmāk – RCS) izbūvi. Tāpat 2021. gada jūnija beigās tika uzsākti būvdarbi </w:t>
      </w:r>
      <w:r w:rsidRPr="00214DB1">
        <w:rPr>
          <w:rFonts w:eastAsia="Times New Roman"/>
          <w:i/>
          <w:iCs/>
        </w:rPr>
        <w:t xml:space="preserve">Rail </w:t>
      </w:r>
      <w:proofErr w:type="spellStart"/>
      <w:r w:rsidRPr="00214DB1">
        <w:rPr>
          <w:rFonts w:eastAsia="Times New Roman"/>
          <w:i/>
          <w:iCs/>
        </w:rPr>
        <w:t>Baltica</w:t>
      </w:r>
      <w:proofErr w:type="spellEnd"/>
      <w:r w:rsidRPr="00214DB1">
        <w:rPr>
          <w:rFonts w:eastAsia="Times New Roman"/>
          <w:i/>
          <w:iCs/>
        </w:rPr>
        <w:t xml:space="preserve"> </w:t>
      </w:r>
      <w:r w:rsidRPr="00214DB1">
        <w:rPr>
          <w:rFonts w:eastAsia="Times New Roman"/>
        </w:rPr>
        <w:t xml:space="preserve">stacijas un saistītās infrastruktūras izbūvei lidostā “Rīga”. Papildus 2021. gada novembrī tika izsludināts un šobrīd, 2022. gada pavasarī/vasarā, noris konkurss par vairāk nekā 200 kilometru garās </w:t>
      </w:r>
      <w:proofErr w:type="spellStart"/>
      <w:r w:rsidRPr="00214DB1">
        <w:rPr>
          <w:rFonts w:eastAsia="Times New Roman"/>
        </w:rPr>
        <w:t>pamattrases</w:t>
      </w:r>
      <w:proofErr w:type="spellEnd"/>
      <w:r w:rsidRPr="00214DB1">
        <w:rPr>
          <w:rFonts w:eastAsia="Times New Roman"/>
        </w:rPr>
        <w:t xml:space="preserve"> </w:t>
      </w:r>
      <w:r w:rsidRPr="00214DB1">
        <w:rPr>
          <w:rFonts w:eastAsia="Times New Roman"/>
        </w:rPr>
        <w:lastRenderedPageBreak/>
        <w:t xml:space="preserve">būvniecību Latvijā, paredzot </w:t>
      </w:r>
      <w:r w:rsidRPr="00214DB1">
        <w:rPr>
          <w:rFonts w:eastAsia="Times New Roman"/>
          <w:i/>
          <w:iCs/>
        </w:rPr>
        <w:t xml:space="preserve">Rail </w:t>
      </w:r>
      <w:proofErr w:type="spellStart"/>
      <w:r w:rsidRPr="00214DB1">
        <w:rPr>
          <w:rFonts w:eastAsia="Times New Roman"/>
          <w:i/>
          <w:iCs/>
        </w:rPr>
        <w:t>Baltica</w:t>
      </w:r>
      <w:proofErr w:type="spellEnd"/>
      <w:r w:rsidRPr="00214DB1">
        <w:rPr>
          <w:rFonts w:eastAsia="Times New Roman"/>
        </w:rPr>
        <w:t xml:space="preserve"> dzelzceļa trases būvniecību Latvijā atbilstoši trases posmu gatavībai sākt 2023. gada pirmajā pusē.</w:t>
      </w:r>
    </w:p>
    <w:p w14:paraId="3F9307C0" w14:textId="77777777" w:rsidR="00E67410" w:rsidRPr="00214DB1" w:rsidRDefault="00E67410" w:rsidP="00E67410">
      <w:pPr>
        <w:spacing w:after="0" w:line="240" w:lineRule="auto"/>
        <w:ind w:firstLine="567"/>
        <w:jc w:val="both"/>
      </w:pPr>
      <w:r w:rsidRPr="00214DB1">
        <w:rPr>
          <w:rFonts w:eastAsia="Times New Roman"/>
        </w:rPr>
        <w:t xml:space="preserve">Vēlamies vērst uzmanību uz to, ka </w:t>
      </w:r>
      <w:r w:rsidRPr="00214DB1">
        <w:rPr>
          <w:rFonts w:eastAsia="Times New Roman"/>
          <w:i/>
          <w:iCs/>
        </w:rPr>
        <w:t xml:space="preserve">Rail </w:t>
      </w:r>
      <w:proofErr w:type="spellStart"/>
      <w:r w:rsidRPr="00214DB1">
        <w:rPr>
          <w:rFonts w:eastAsia="Times New Roman"/>
          <w:i/>
          <w:iCs/>
        </w:rPr>
        <w:t>Baltica</w:t>
      </w:r>
      <w:proofErr w:type="spellEnd"/>
      <w:r w:rsidRPr="00214DB1">
        <w:rPr>
          <w:rFonts w:eastAsia="Times New Roman"/>
        </w:rPr>
        <w:t xml:space="preserve"> projekta īstenošanā aizvien tiek ņemtas vērā 2017. gadā veiktās aplēses par globālā projekta kopējām izmaksām, pamatojot kopējās projekta izmaksas visās trīs Baltijas valstīs 5,8 miljardu </w:t>
      </w:r>
      <w:proofErr w:type="spellStart"/>
      <w:r w:rsidRPr="00214DB1">
        <w:rPr>
          <w:rFonts w:eastAsia="Times New Roman"/>
          <w:i/>
          <w:iCs/>
        </w:rPr>
        <w:t>euro</w:t>
      </w:r>
      <w:proofErr w:type="spellEnd"/>
      <w:r w:rsidRPr="00214DB1">
        <w:rPr>
          <w:rFonts w:eastAsia="Times New Roman"/>
        </w:rPr>
        <w:t xml:space="preserve"> apmērā, kas ietver ne tikai pašu projektēšanu un būvniecību, bet arī tam nepieciešamos priekšdarbus/projekta īstenošanas aktivitātes (pētījumi, ekonomiskie, juridiskie novērtējumi u.c.), tai skaitā ietekmes uz vidi novērtējuma izstrādi.</w:t>
      </w:r>
      <w:r w:rsidRPr="00214DB1">
        <w:rPr>
          <w:rStyle w:val="FootnoteReference"/>
          <w:rFonts w:eastAsia="Times New Roman"/>
        </w:rPr>
        <w:footnoteReference w:id="4"/>
      </w:r>
      <w:r w:rsidRPr="00214DB1">
        <w:rPr>
          <w:rFonts w:eastAsia="Times New Roman"/>
        </w:rPr>
        <w:t xml:space="preserve"> Vienlaikus jāuzsver, ka EISI finansējums 85% apmērā attiecas tikai uz sākotnēji aprēķinātajām projekta īstenošanas kopējām izmaksām 5,8 miljardu </w:t>
      </w:r>
      <w:proofErr w:type="spellStart"/>
      <w:r w:rsidRPr="00214DB1">
        <w:rPr>
          <w:rFonts w:eastAsia="Times New Roman"/>
          <w:i/>
          <w:iCs/>
        </w:rPr>
        <w:t>euro</w:t>
      </w:r>
      <w:proofErr w:type="spellEnd"/>
      <w:r w:rsidRPr="00214DB1">
        <w:rPr>
          <w:rFonts w:eastAsia="Times New Roman"/>
        </w:rPr>
        <w:t xml:space="preserve"> apmērā un neietver sevī projekta īstenošanas sadārdzinājumu papildus</w:t>
      </w:r>
      <w:r w:rsidRPr="00214DB1">
        <w:rPr>
          <w:rFonts w:eastAsia="Times New Roman"/>
          <w:b/>
          <w:bCs/>
        </w:rPr>
        <w:t xml:space="preserve"> iepriekš ieplānotajai </w:t>
      </w:r>
      <w:r w:rsidRPr="00214DB1">
        <w:rPr>
          <w:rFonts w:eastAsia="Times New Roman"/>
        </w:rPr>
        <w:t xml:space="preserve">būvdarbu izmaksu indeksācijai. </w:t>
      </w:r>
      <w:r w:rsidRPr="00214DB1">
        <w:t xml:space="preserve">Ievērojot, ka </w:t>
      </w:r>
      <w:r w:rsidRPr="00214DB1">
        <w:rPr>
          <w:i/>
          <w:iCs/>
        </w:rPr>
        <w:t xml:space="preserve">Rail </w:t>
      </w:r>
      <w:proofErr w:type="spellStart"/>
      <w:r w:rsidRPr="00214DB1">
        <w:rPr>
          <w:i/>
          <w:iCs/>
        </w:rPr>
        <w:t>Baltica</w:t>
      </w:r>
      <w:proofErr w:type="spellEnd"/>
      <w:r w:rsidRPr="00214DB1">
        <w:t xml:space="preserve"> projekta virzība šobrīd atsevišķos projekta posmos jau sasniegusi aktīvas būvniecības fāzi, </w:t>
      </w:r>
      <w:r w:rsidRPr="00214DB1">
        <w:rPr>
          <w:i/>
          <w:iCs/>
        </w:rPr>
        <w:t xml:space="preserve">Rail </w:t>
      </w:r>
      <w:proofErr w:type="spellStart"/>
      <w:r w:rsidRPr="00214DB1">
        <w:rPr>
          <w:i/>
          <w:iCs/>
        </w:rPr>
        <w:t>Baltica</w:t>
      </w:r>
      <w:proofErr w:type="spellEnd"/>
      <w:r w:rsidRPr="00214DB1">
        <w:t xml:space="preserve"> projekts ir kļuvis par vērienīgāko infrastruktūras projektu kā Latvijas, tā visu trīs Baltijas valstu neatkarības vēsturē. </w:t>
      </w:r>
    </w:p>
    <w:p w14:paraId="069D275F" w14:textId="77777777" w:rsidR="00E67410" w:rsidRPr="00214DB1" w:rsidRDefault="00E67410" w:rsidP="00E67410">
      <w:pPr>
        <w:spacing w:after="0" w:line="240" w:lineRule="auto"/>
        <w:ind w:firstLine="567"/>
        <w:jc w:val="both"/>
      </w:pPr>
      <w:r w:rsidRPr="00214DB1">
        <w:rPr>
          <w:i/>
          <w:iCs/>
        </w:rPr>
        <w:t xml:space="preserve">Rail </w:t>
      </w:r>
      <w:proofErr w:type="spellStart"/>
      <w:r w:rsidRPr="00214DB1">
        <w:rPr>
          <w:i/>
          <w:iCs/>
        </w:rPr>
        <w:t>Baltica</w:t>
      </w:r>
      <w:proofErr w:type="spellEnd"/>
      <w:r w:rsidRPr="00214DB1">
        <w:t xml:space="preserve"> projekta projektēšanas un būvdarbu iepirkumu līgumi tiek veidoti uz Starptautiskās Inženieru Konsultantu federācijas (turpmāk – FIDIC) izstrādāto līgumu </w:t>
      </w:r>
      <w:proofErr w:type="spellStart"/>
      <w:r w:rsidRPr="00214DB1">
        <w:t>paraugformu</w:t>
      </w:r>
      <w:proofErr w:type="spellEnd"/>
      <w:r w:rsidRPr="00214DB1">
        <w:t xml:space="preserve"> bāzes. Tāpat </w:t>
      </w:r>
      <w:r w:rsidRPr="00214DB1">
        <w:rPr>
          <w:i/>
          <w:iCs/>
        </w:rPr>
        <w:t xml:space="preserve">Rail </w:t>
      </w:r>
      <w:proofErr w:type="spellStart"/>
      <w:r w:rsidRPr="00214DB1">
        <w:rPr>
          <w:i/>
          <w:iCs/>
        </w:rPr>
        <w:t>Baltica</w:t>
      </w:r>
      <w:proofErr w:type="spellEnd"/>
      <w:r w:rsidRPr="00214DB1">
        <w:t xml:space="preserve"> projektā tiek iepirkti arī </w:t>
      </w:r>
      <w:proofErr w:type="spellStart"/>
      <w:r w:rsidRPr="00214DB1">
        <w:t>inženierkonsultāciju</w:t>
      </w:r>
      <w:proofErr w:type="spellEnd"/>
      <w:r w:rsidRPr="00214DB1">
        <w:t xml:space="preserve"> un būvuzraudzības pakalpojumi, lai nodrošinātu augstākās kvalitātes būvdarbu uzraudzību un FIDIC līguma vadību būvdarbu laikā. Kā būtisks finanšu riskus mazinošs instruments, ņemot vērā FIDIC noteikumus, </w:t>
      </w:r>
      <w:r w:rsidRPr="00214DB1">
        <w:rPr>
          <w:i/>
          <w:iCs/>
        </w:rPr>
        <w:t xml:space="preserve">Rail </w:t>
      </w:r>
      <w:proofErr w:type="spellStart"/>
      <w:r w:rsidRPr="00214DB1">
        <w:rPr>
          <w:i/>
          <w:iCs/>
        </w:rPr>
        <w:t>Baltica</w:t>
      </w:r>
      <w:proofErr w:type="spellEnd"/>
      <w:r w:rsidRPr="00214DB1">
        <w:t xml:space="preserve"> līgumos tiek ietvertas cenu indeksācijas formulas. </w:t>
      </w:r>
    </w:p>
    <w:p w14:paraId="55FC1A16" w14:textId="77777777" w:rsidR="00E67410" w:rsidRPr="00214DB1" w:rsidRDefault="00E67410" w:rsidP="00E67410">
      <w:pPr>
        <w:spacing w:after="0" w:line="240" w:lineRule="auto"/>
        <w:ind w:firstLine="567"/>
        <w:jc w:val="both"/>
      </w:pPr>
      <w:r w:rsidRPr="00214DB1">
        <w:t xml:space="preserve">Vērtējot Krievijas iebrukuma Ukrainā ietekmi uz būvmateriālu un energoresursu cenu pieaugumu, jāatzīst, ka esošā situācija būvniecības sektorā ir atstājusi būtisku ietekmi uz spēkā esošajiem </w:t>
      </w:r>
      <w:r w:rsidRPr="00214DB1">
        <w:rPr>
          <w:i/>
          <w:iCs/>
        </w:rPr>
        <w:t xml:space="preserve">Rail </w:t>
      </w:r>
      <w:proofErr w:type="spellStart"/>
      <w:r w:rsidRPr="00214DB1">
        <w:rPr>
          <w:i/>
          <w:iCs/>
        </w:rPr>
        <w:t>Baltica</w:t>
      </w:r>
      <w:proofErr w:type="spellEnd"/>
      <w:r w:rsidRPr="00214DB1">
        <w:rPr>
          <w:i/>
          <w:iCs/>
        </w:rPr>
        <w:t xml:space="preserve"> </w:t>
      </w:r>
      <w:r w:rsidRPr="00214DB1">
        <w:t>projekta būvdarbu līgumiem. Lai arī minētajos līgumos iestrādātie būvniecības indeksācijas mehānismi ļauj indeksēt līgumcenu atbilstoši vidējai inflācijai visiem darbu veidiem, taču vispārējā inženierbūvju būvdarbu inflācija (aptuveni 20-25% gadā) (lūgums EM precizēt jaunāko statistiku) šobrīd ievērojami atpaliek no tērauda, degvielas un betona izejmateriālu inflācijas (šobrīd vairāk kā 100% gadā) (lūgums EM precizēt jaunāko statistiku). Tādejādi indeksācijas mehānisms pilnībā nenosedz kopējo būvniecības cenu pieaugumu.</w:t>
      </w:r>
    </w:p>
    <w:p w14:paraId="4381AF22" w14:textId="77777777" w:rsidR="00E67410" w:rsidRPr="00214DB1" w:rsidRDefault="00E67410" w:rsidP="00E67410">
      <w:pPr>
        <w:spacing w:after="0" w:line="240" w:lineRule="auto"/>
        <w:ind w:firstLine="567"/>
        <w:jc w:val="both"/>
      </w:pPr>
      <w:r w:rsidRPr="00214DB1">
        <w:t xml:space="preserve">Gan RCS, gan Lidostas stacijas “Rīga” projektos aktuālo būvdarbu posmu ietvaros tiek īstenoti ievērojami dzelzsbetona konstrukciju būvdarbi, kas ietver lielu apjomu tērauda un betona materiālus, kā arī patērē lielu daudzumu degvielas. Šīm materiālu komponentēm ir novērojams cenu pieaugums, kas pārsniedz pat vairāk kā 100%, salīdzinot ar piedāvājuma iesniegšanas brīdī esošajām tirgus cenām. Ir saņemta informācija, ka būvuzņēmēji, ar kuriem noslēgti līdzšinējie būvniecības līgumi par </w:t>
      </w:r>
      <w:r w:rsidRPr="00214DB1">
        <w:rPr>
          <w:i/>
          <w:iCs/>
        </w:rPr>
        <w:t xml:space="preserve">Rail </w:t>
      </w:r>
      <w:proofErr w:type="spellStart"/>
      <w:r w:rsidRPr="00214DB1">
        <w:rPr>
          <w:i/>
          <w:iCs/>
        </w:rPr>
        <w:t>Baltica</w:t>
      </w:r>
      <w:proofErr w:type="spellEnd"/>
      <w:r w:rsidRPr="00214DB1">
        <w:rPr>
          <w:i/>
          <w:iCs/>
        </w:rPr>
        <w:t xml:space="preserve"> </w:t>
      </w:r>
      <w:r w:rsidRPr="00214DB1">
        <w:t>būvdarbu veikšanu Latvijas teritorijā, saņēmuši līguma izpildes uzteikumu (</w:t>
      </w:r>
      <w:proofErr w:type="spellStart"/>
      <w:r w:rsidRPr="00214DB1">
        <w:rPr>
          <w:i/>
          <w:iCs/>
        </w:rPr>
        <w:t>Notice</w:t>
      </w:r>
      <w:proofErr w:type="spellEnd"/>
      <w:r w:rsidRPr="00214DB1">
        <w:rPr>
          <w:i/>
          <w:iCs/>
        </w:rPr>
        <w:t xml:space="preserve"> </w:t>
      </w:r>
      <w:proofErr w:type="spellStart"/>
      <w:r w:rsidRPr="00214DB1">
        <w:rPr>
          <w:i/>
          <w:iCs/>
        </w:rPr>
        <w:t>of</w:t>
      </w:r>
      <w:proofErr w:type="spellEnd"/>
      <w:r w:rsidRPr="00214DB1">
        <w:rPr>
          <w:i/>
          <w:iCs/>
        </w:rPr>
        <w:t xml:space="preserve"> </w:t>
      </w:r>
      <w:proofErr w:type="spellStart"/>
      <w:r w:rsidRPr="00214DB1">
        <w:rPr>
          <w:i/>
          <w:iCs/>
        </w:rPr>
        <w:t>Termination</w:t>
      </w:r>
      <w:proofErr w:type="spellEnd"/>
      <w:r w:rsidRPr="00214DB1">
        <w:t xml:space="preserve">) no apakšuzņēmējiem vai arī tika informēti par apakšuzņēmēju nevēlēšanos uzņemties darbu veikšanu. </w:t>
      </w:r>
    </w:p>
    <w:p w14:paraId="61288FD4" w14:textId="77777777" w:rsidR="00E67410" w:rsidRPr="00214DB1" w:rsidRDefault="00E67410" w:rsidP="00E67410">
      <w:pPr>
        <w:spacing w:after="0" w:line="240" w:lineRule="auto"/>
        <w:ind w:firstLine="567"/>
        <w:jc w:val="both"/>
      </w:pPr>
      <w:r w:rsidRPr="00214DB1">
        <w:t>Sniedzot praktiskus piemērus, RCS būvuzņēmējs ir informējis par tērauda stiegrojuma ne tikai cenu pieaugumu, bet pat par neiespējamību to atrast pietiekamā apjomā esošās piegādes ķēdēs. Situācijas risinājumam būvuzņēmējs cenšas iepirkt materiālus lielā apjomā, izmantojot projekta līguma ievērojamo darbu daudzumu, taču sekmes šai pieejai ir limitētas un nodrošina tikai daļu no nepieciešamajiem materiāliem, taču nenodrošina pret nepieredzēto cenu pieaugumu.</w:t>
      </w:r>
    </w:p>
    <w:p w14:paraId="6C22A81B" w14:textId="77777777" w:rsidR="00E67410" w:rsidRPr="00214DB1" w:rsidRDefault="00E67410" w:rsidP="00E67410">
      <w:pPr>
        <w:spacing w:after="0" w:line="240" w:lineRule="auto"/>
        <w:ind w:firstLine="567"/>
        <w:jc w:val="both"/>
      </w:pPr>
      <w:r w:rsidRPr="00214DB1">
        <w:t xml:space="preserve">Specifiska dzelzceļa estakādes konstrukcija  </w:t>
      </w:r>
      <w:r w:rsidRPr="00214DB1">
        <w:rPr>
          <w:i/>
          <w:iCs/>
        </w:rPr>
        <w:t xml:space="preserve">Rail </w:t>
      </w:r>
      <w:proofErr w:type="spellStart"/>
      <w:r w:rsidRPr="00214DB1">
        <w:rPr>
          <w:i/>
          <w:iCs/>
        </w:rPr>
        <w:t>Baltica</w:t>
      </w:r>
      <w:proofErr w:type="spellEnd"/>
      <w:r w:rsidRPr="00214DB1">
        <w:t xml:space="preserve"> stacijas un saistītās infrastruktūras izbūvei lidostā “Rīga” projektā (dzelzceļa estakāde ir Latvijas būvniecības sektoram unikāla būve, kas līdz Rail </w:t>
      </w:r>
      <w:proofErr w:type="spellStart"/>
      <w:r w:rsidRPr="00214DB1">
        <w:t>Baltica</w:t>
      </w:r>
      <w:proofErr w:type="spellEnd"/>
      <w:r w:rsidRPr="00214DB1">
        <w:t xml:space="preserve"> projektam Latvijā netika pielietota), kas pieļauj būvdarbu veikšanu ar maksimāli samazinātu būvdarbu ietekmi uz lidostas teritoriju un operacionālo darbību, prasa izmantot d26 B500B stiegrojumu, kāds līdz 2022. gada februārim bija plaši pieejams Baltkrievijā, taču netiek ražots ne Latvijā, ne arī pārējās Baltijas valstīs. Tāpat arī netiek plaši pielietots ārpus </w:t>
      </w:r>
      <w:r w:rsidRPr="00214DB1">
        <w:rPr>
          <w:i/>
          <w:iCs/>
        </w:rPr>
        <w:t xml:space="preserve">Rail </w:t>
      </w:r>
      <w:proofErr w:type="spellStart"/>
      <w:r w:rsidRPr="00214DB1">
        <w:rPr>
          <w:i/>
          <w:iCs/>
        </w:rPr>
        <w:t>Baltica</w:t>
      </w:r>
      <w:proofErr w:type="spellEnd"/>
      <w:r w:rsidRPr="00214DB1">
        <w:t xml:space="preserve"> būvdarbiem. Tuvākais analoga ražotājs šobrīd ir atrasts Itālijā, taču, ņemot vērā Krievijas īstenotās agresijas Ukrainā ietekmi un būvniecības sektoru, tas nepārdod savu produkciju ārpus Itālijas tirgus. Šobrīd kopā ar būvuzņēmēju un </w:t>
      </w:r>
      <w:proofErr w:type="spellStart"/>
      <w:r w:rsidRPr="00214DB1">
        <w:t>autoruzraugu</w:t>
      </w:r>
      <w:proofErr w:type="spellEnd"/>
      <w:r w:rsidRPr="00214DB1">
        <w:t xml:space="preserve"> tiek meklēti tehniskie risinājumi, kas varētu mazināt ietekmi uz darbu veikšanu.</w:t>
      </w:r>
    </w:p>
    <w:p w14:paraId="089809D3" w14:textId="77777777" w:rsidR="00E67410" w:rsidRPr="00214DB1" w:rsidRDefault="00E67410" w:rsidP="00E67410">
      <w:pPr>
        <w:spacing w:after="0" w:line="240" w:lineRule="auto"/>
        <w:ind w:firstLine="567"/>
        <w:jc w:val="both"/>
      </w:pPr>
      <w:r w:rsidRPr="00214DB1">
        <w:lastRenderedPageBreak/>
        <w:t xml:space="preserve">Pēc 2022. gada 24. gada februāra vēl nav noslēgti jauni būvdarbu līgumi, taču ietekmi uz </w:t>
      </w:r>
      <w:r w:rsidRPr="00214DB1">
        <w:rPr>
          <w:i/>
          <w:iCs/>
        </w:rPr>
        <w:t xml:space="preserve">Rail </w:t>
      </w:r>
      <w:proofErr w:type="spellStart"/>
      <w:r w:rsidRPr="00214DB1">
        <w:rPr>
          <w:i/>
          <w:iCs/>
        </w:rPr>
        <w:t>Baltica</w:t>
      </w:r>
      <w:proofErr w:type="spellEnd"/>
      <w:r w:rsidRPr="00214DB1">
        <w:t xml:space="preserve"> </w:t>
      </w:r>
      <w:proofErr w:type="spellStart"/>
      <w:r w:rsidRPr="00214DB1">
        <w:t>pamattrases</w:t>
      </w:r>
      <w:proofErr w:type="spellEnd"/>
      <w:r w:rsidRPr="00214DB1">
        <w:t xml:space="preserve"> būvdarbiem būs iespējams novērtēt pēc būvdarbu piedāvājumu saņemšanas, kas sagaidāma 2022. gada beigās.</w:t>
      </w:r>
    </w:p>
    <w:p w14:paraId="4BBD9A6D" w14:textId="77777777" w:rsidR="00E67410" w:rsidRPr="00214DB1" w:rsidRDefault="00E67410" w:rsidP="00E67410">
      <w:pPr>
        <w:spacing w:after="0" w:line="240" w:lineRule="auto"/>
        <w:ind w:firstLine="567"/>
        <w:jc w:val="both"/>
      </w:pPr>
      <w:r w:rsidRPr="00214DB1">
        <w:t xml:space="preserve">Jāuzsver, ka </w:t>
      </w:r>
      <w:r w:rsidRPr="00214DB1">
        <w:rPr>
          <w:i/>
          <w:iCs/>
        </w:rPr>
        <w:t xml:space="preserve">Rail </w:t>
      </w:r>
      <w:proofErr w:type="spellStart"/>
      <w:r w:rsidRPr="00214DB1">
        <w:rPr>
          <w:i/>
          <w:iCs/>
        </w:rPr>
        <w:t>Baltica</w:t>
      </w:r>
      <w:proofErr w:type="spellEnd"/>
      <w:r w:rsidRPr="00214DB1">
        <w:t xml:space="preserve"> būvdarbu līgumi ir ievērojami lielāki un strukturāli atšķirīgi no lielākās daļas Latvijas publisko pasūtītāju būvdarbu līgumiem. Tāpat esošā tirgus situācija ievērojami pārsniedz pesimistiskākās prognozes par līguma izpildē iespējamajiem apstākļiem, situācijā, kad būvdarbi vairāku gadu garumā ir īstenoti COVID-19 pandēmijas izraisīto seku ietekmē. Papildus jāuzsver, ka </w:t>
      </w:r>
      <w:r w:rsidRPr="00214DB1">
        <w:rPr>
          <w:i/>
          <w:iCs/>
        </w:rPr>
        <w:t xml:space="preserve">Rail </w:t>
      </w:r>
      <w:proofErr w:type="spellStart"/>
      <w:r w:rsidRPr="00214DB1">
        <w:rPr>
          <w:i/>
          <w:iCs/>
        </w:rPr>
        <w:t>Baltica</w:t>
      </w:r>
      <w:proofErr w:type="spellEnd"/>
      <w:r w:rsidRPr="00214DB1">
        <w:t xml:space="preserve"> projekta atsevišķu objektu attīstībai ar atbalsta intensitāti 50% apmērā ir piešķirts finansējums no militārās mobilitātes finanšu instrumenta, paredzot </w:t>
      </w:r>
      <w:r w:rsidRPr="00214DB1">
        <w:rPr>
          <w:i/>
          <w:iCs/>
        </w:rPr>
        <w:t xml:space="preserve">Rail </w:t>
      </w:r>
      <w:proofErr w:type="spellStart"/>
      <w:r w:rsidRPr="00214DB1">
        <w:rPr>
          <w:i/>
          <w:iCs/>
        </w:rPr>
        <w:t>Baltica</w:t>
      </w:r>
      <w:proofErr w:type="spellEnd"/>
      <w:r w:rsidRPr="00214DB1">
        <w:t xml:space="preserve"> projektā integrēt arī divējādā lietojuma prasības, kas nodrošinās dzelzceļa infrastruktūras </w:t>
      </w:r>
      <w:proofErr w:type="spellStart"/>
      <w:r w:rsidRPr="00214DB1">
        <w:t>pielietojamību</w:t>
      </w:r>
      <w:proofErr w:type="spellEnd"/>
      <w:r w:rsidRPr="00214DB1">
        <w:t xml:space="preserve"> gan civilajām, gan militārajam vajadzībām, tādējādi apliecinot </w:t>
      </w:r>
      <w:r w:rsidRPr="00214DB1">
        <w:rPr>
          <w:i/>
          <w:iCs/>
        </w:rPr>
        <w:t xml:space="preserve">Rail </w:t>
      </w:r>
      <w:proofErr w:type="spellStart"/>
      <w:r w:rsidRPr="00214DB1">
        <w:rPr>
          <w:i/>
          <w:iCs/>
        </w:rPr>
        <w:t>Baltica</w:t>
      </w:r>
      <w:proofErr w:type="spellEnd"/>
      <w:r w:rsidRPr="00214DB1">
        <w:t xml:space="preserve"> projekta lielo nozīmību arī valsts militāro aizsardzības funkciju īstenošanā.</w:t>
      </w:r>
    </w:p>
    <w:p w14:paraId="43DA18F8" w14:textId="77777777" w:rsidR="00E67410" w:rsidRPr="00214DB1" w:rsidRDefault="00E67410" w:rsidP="00E67410">
      <w:pPr>
        <w:spacing w:after="0" w:line="240" w:lineRule="auto"/>
        <w:ind w:firstLine="567"/>
        <w:jc w:val="both"/>
      </w:pPr>
      <w:r w:rsidRPr="00214DB1">
        <w:t xml:space="preserve">Ievērojot visu iepriekš minēto un atbildot uz Komisijas aicinājumu Ministru kabinetam publisko būvniecības projektu realizāciju plānot pakāpeniski, Ministrijas ieskatā </w:t>
      </w:r>
      <w:r w:rsidRPr="00214DB1">
        <w:rPr>
          <w:i/>
          <w:iCs/>
        </w:rPr>
        <w:t xml:space="preserve">Rail </w:t>
      </w:r>
      <w:proofErr w:type="spellStart"/>
      <w:r w:rsidRPr="00214DB1">
        <w:rPr>
          <w:i/>
          <w:iCs/>
        </w:rPr>
        <w:t>Baltica</w:t>
      </w:r>
      <w:proofErr w:type="spellEnd"/>
      <w:r w:rsidRPr="00214DB1">
        <w:t xml:space="preserve"> projekta īstenošana nodrošina būtisku valsts interešu nodrošināšanu, līdz ar to tas būtu nosakāms kā prioritāri īstenojams infrastruktūras projekts. </w:t>
      </w:r>
    </w:p>
    <w:p w14:paraId="20FCC5FA" w14:textId="77777777" w:rsidR="00E67410" w:rsidRPr="00214DB1" w:rsidRDefault="00E67410" w:rsidP="00E67410">
      <w:pPr>
        <w:spacing w:after="0" w:line="240" w:lineRule="auto"/>
        <w:ind w:firstLine="567"/>
        <w:jc w:val="both"/>
      </w:pPr>
      <w:r w:rsidRPr="00214DB1">
        <w:t xml:space="preserve">Ministrija varētu atbalstīt priekšlikumu par centralizēta risinājuma piemērošanu būvniecības izmaksu sadārdzinājuma vadībai publisko iepirkumu rezultātā noslēgtajiem būvniecības līgumiem, ja tas neradīs papildu šķēršļus (tai skaitā finanšu rakstura) nacionālo interešu objekta </w:t>
      </w:r>
      <w:r w:rsidRPr="00214DB1">
        <w:rPr>
          <w:i/>
          <w:iCs/>
        </w:rPr>
        <w:t xml:space="preserve">Rail </w:t>
      </w:r>
      <w:proofErr w:type="spellStart"/>
      <w:r w:rsidRPr="00214DB1">
        <w:rPr>
          <w:i/>
          <w:iCs/>
        </w:rPr>
        <w:t>Baltica</w:t>
      </w:r>
      <w:proofErr w:type="spellEnd"/>
      <w:r w:rsidRPr="00214DB1">
        <w:t xml:space="preserve"> dzelzceļa infrastruktūras projekta veiksmīgai īstenošanai.</w:t>
      </w:r>
    </w:p>
    <w:p w14:paraId="1C43C02B" w14:textId="77777777" w:rsidR="00E67410" w:rsidRPr="00214DB1" w:rsidRDefault="00E67410" w:rsidP="00E67410">
      <w:pPr>
        <w:spacing w:after="0" w:line="240" w:lineRule="auto"/>
        <w:ind w:firstLine="567"/>
        <w:jc w:val="both"/>
        <w:rPr>
          <w:color w:val="000000" w:themeColor="text1"/>
        </w:rPr>
      </w:pPr>
      <w:r w:rsidRPr="00214DB1">
        <w:rPr>
          <w:color w:val="000000" w:themeColor="text1"/>
        </w:rPr>
        <w:t xml:space="preserve">Ministrija norāda, ka VSIA “Latvijas Valsts ceļi” (turpmāk - LVC) sadarbībā ar ceļu būvniecības nozari ir izstrādājuši “Būvdarbu līguma vienības cenu pārrēķina metode”  (turpmāk – metode), kas publicēta LVC tīmekļvietnē </w:t>
      </w:r>
      <w:hyperlink r:id="rId6" w:history="1">
        <w:r w:rsidRPr="00214DB1">
          <w:rPr>
            <w:rStyle w:val="Hyperlink"/>
            <w:color w:val="000000" w:themeColor="text1"/>
          </w:rPr>
          <w:t>https://lvceli.lv/wp-content/uploads/2022/05/LVC_Parrekina_metode.docx</w:t>
        </w:r>
      </w:hyperlink>
      <w:r w:rsidRPr="00214DB1">
        <w:rPr>
          <w:color w:val="000000" w:themeColor="text1"/>
        </w:rPr>
        <w:t xml:space="preserve">. </w:t>
      </w:r>
    </w:p>
    <w:p w14:paraId="6E2FFBDF" w14:textId="77777777" w:rsidR="00E67410" w:rsidRPr="00214DB1" w:rsidRDefault="00E67410" w:rsidP="00E67410">
      <w:pPr>
        <w:spacing w:after="0" w:line="240" w:lineRule="auto"/>
        <w:ind w:firstLine="567"/>
        <w:jc w:val="both"/>
        <w:rPr>
          <w:color w:val="000000" w:themeColor="text1"/>
        </w:rPr>
      </w:pPr>
      <w:r w:rsidRPr="00214DB1">
        <w:rPr>
          <w:color w:val="000000" w:themeColor="text1"/>
        </w:rPr>
        <w:t>Šīs metodes pielietošana ir saskaņota ar Iepirkumu uzraudzības biroju (turpmāk – IUB). IUB norāda, ka metode ir piemērojam tikai tādā gadījumā, kad šāda piedāvātās cenas pārskatīšanas vajadzība, kas radusies saistībā ar karadarbību Ukrainā un pret Krieviju un Baltkrieviju ieviesto sankciju rezultātā patiesi pastāv, proti tā piemērojama, ja bez cenu pārskatīšanas nav iespējama līguma izpilde. Attiecīgi pasūtītājam katrā konkrētā gadījumā ir pienākums izvērtēt, vai iepirkuma līgums tā sākotnējā ietvarā ir izpildāms.</w:t>
      </w:r>
    </w:p>
    <w:p w14:paraId="41DE9A70" w14:textId="77777777" w:rsidR="00E67410" w:rsidRPr="00214DB1" w:rsidRDefault="00E67410" w:rsidP="00E67410">
      <w:pPr>
        <w:spacing w:after="0" w:line="240" w:lineRule="auto"/>
        <w:ind w:firstLine="567"/>
        <w:jc w:val="both"/>
        <w:rPr>
          <w:color w:val="000000" w:themeColor="text1"/>
        </w:rPr>
      </w:pPr>
      <w:r w:rsidRPr="00214DB1">
        <w:rPr>
          <w:color w:val="000000" w:themeColor="text1"/>
        </w:rPr>
        <w:t>Vienlaikus IUB vērš uzmanību uz to, ka veicot iepirkuma līguma grozījumus, pamatojoties uz Publisko iepirkumu likuma (turpmāk – PIL) 61. panta piekto daļā noteiktajam iepirkuma līguma vai vispārīgās vienošanās grozījumi ir pieļaujami, ja iepirkuma līguma vai vispārīgās vienošanās grozījumu vērtība, ko noteic kā visu secīgi veikto grozījumu naudas vērtību summu (neņemot vērā to grozījumu vērtību, kuri izdarīti saskaņā ar PIL 61. panta trešās daļas 1., 2. un 3. punktu), vienlaikus nesasniedz 15 procentus no sākotnējās iepirkuma līguma vai vispārīgās vienošanās līgumcenas publiska būvdarbu līguma gadījumā un Ministru kabineta noteiktos līgumcenas sliekšņus, kā arī tie nemaina līguma vispārējo raksturu.</w:t>
      </w:r>
    </w:p>
    <w:p w14:paraId="13D7A16B" w14:textId="77777777" w:rsidR="00E67410" w:rsidRPr="00214DB1" w:rsidRDefault="00E67410" w:rsidP="00E67410">
      <w:pPr>
        <w:spacing w:after="0" w:line="240" w:lineRule="auto"/>
        <w:jc w:val="both"/>
        <w:rPr>
          <w:color w:val="000000" w:themeColor="text1"/>
        </w:rPr>
      </w:pPr>
    </w:p>
    <w:p w14:paraId="52583A78" w14:textId="77777777" w:rsidR="00E67410" w:rsidRPr="00214DB1" w:rsidRDefault="00E67410" w:rsidP="00E67410">
      <w:pPr>
        <w:spacing w:after="0" w:line="240" w:lineRule="auto"/>
        <w:jc w:val="both"/>
        <w:rPr>
          <w:color w:val="000000" w:themeColor="text1"/>
        </w:rPr>
      </w:pPr>
      <w:r w:rsidRPr="00214DB1">
        <w:rPr>
          <w:color w:val="000000" w:themeColor="text1"/>
        </w:rPr>
        <w:t>Papildus informējam, ka attiecībā uz ES fondu līdzfinansētajiem projektiem, Centrālā finanšu un līguma aģentūra, kas nodrošina ES fondu projektu īstenošanas uzraudzību savā tīmekļvietnē, ir publicējusi praktisko informāciju par izmaksu sadārdzinājumu un termiņa pagarinājuma pamatotību būvniecības līgumu ietvaros</w:t>
      </w:r>
      <w:r w:rsidRPr="00214DB1">
        <w:rPr>
          <w:color w:val="000000" w:themeColor="text1"/>
          <w:vertAlign w:val="superscript"/>
        </w:rPr>
        <w:footnoteReference w:customMarkFollows="1" w:id="5"/>
        <w:t>[1]</w:t>
      </w:r>
      <w:r w:rsidRPr="00214DB1">
        <w:rPr>
          <w:color w:val="000000" w:themeColor="text1"/>
        </w:rPr>
        <w:t>. Materiālā detalizēti minēti ieteikumi, kas var palīdzēt ES fondu projektu īstenotājiem komunikācijā un risinājumu meklēšanā ar būvdarbu līgumu izpildītājiem. Tāpat arī Iepirkumu uzraudzības biroja tīmekļa vietnē ir publicēts skaidrojums “Līgumu vadība krīzes apstākļos”</w:t>
      </w:r>
      <w:r w:rsidRPr="00214DB1">
        <w:rPr>
          <w:color w:val="000000" w:themeColor="text1"/>
          <w:vertAlign w:val="superscript"/>
        </w:rPr>
        <w:t xml:space="preserve"> </w:t>
      </w:r>
      <w:r w:rsidRPr="00214DB1">
        <w:rPr>
          <w:color w:val="000000" w:themeColor="text1"/>
          <w:vertAlign w:val="superscript"/>
        </w:rPr>
        <w:footnoteReference w:customMarkFollows="1" w:id="6"/>
        <w:t>[2]</w:t>
      </w:r>
      <w:r w:rsidRPr="00214DB1">
        <w:rPr>
          <w:color w:val="000000" w:themeColor="text1"/>
        </w:rPr>
        <w:t>.</w:t>
      </w:r>
    </w:p>
    <w:p w14:paraId="17FB68C1" w14:textId="77777777" w:rsidR="0038785C" w:rsidRDefault="009244D6"/>
    <w:sectPr w:rsidR="0038785C" w:rsidSect="00E67410">
      <w:footerReference w:type="default" r:id="rId7"/>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2565" w14:textId="77777777" w:rsidR="009244D6" w:rsidRDefault="009244D6" w:rsidP="00E67410">
      <w:pPr>
        <w:spacing w:after="0" w:line="240" w:lineRule="auto"/>
      </w:pPr>
      <w:r>
        <w:separator/>
      </w:r>
    </w:p>
  </w:endnote>
  <w:endnote w:type="continuationSeparator" w:id="0">
    <w:p w14:paraId="37A79742" w14:textId="77777777" w:rsidR="009244D6" w:rsidRDefault="009244D6" w:rsidP="00E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5C7EE8A0" w14:textId="77777777" w:rsidR="00B00CCD" w:rsidRDefault="00F802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AF2E7A" w14:textId="77777777" w:rsidR="00B00CCD" w:rsidRDefault="00924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6A7F1" w14:textId="77777777" w:rsidR="009244D6" w:rsidRDefault="009244D6" w:rsidP="00E67410">
      <w:pPr>
        <w:spacing w:after="0" w:line="240" w:lineRule="auto"/>
      </w:pPr>
      <w:r>
        <w:separator/>
      </w:r>
    </w:p>
  </w:footnote>
  <w:footnote w:type="continuationSeparator" w:id="0">
    <w:p w14:paraId="17A150D0" w14:textId="77777777" w:rsidR="009244D6" w:rsidRDefault="009244D6" w:rsidP="00E67410">
      <w:pPr>
        <w:spacing w:after="0" w:line="240" w:lineRule="auto"/>
      </w:pPr>
      <w:r>
        <w:continuationSeparator/>
      </w:r>
    </w:p>
  </w:footnote>
  <w:footnote w:id="1">
    <w:p w14:paraId="1BF77D1D" w14:textId="77777777" w:rsidR="00E67410" w:rsidRDefault="00E67410" w:rsidP="00E67410">
      <w:pPr>
        <w:pStyle w:val="FootnoteText"/>
        <w:jc w:val="both"/>
      </w:pPr>
      <w:r>
        <w:rPr>
          <w:rStyle w:val="FootnoteReference"/>
        </w:rPr>
        <w:footnoteRef/>
      </w:r>
      <w:r>
        <w:t xml:space="preserve"> </w:t>
      </w:r>
      <w:r w:rsidRPr="004C4025">
        <w:t>Eiropas Parlamenta un Padomes Regul</w:t>
      </w:r>
      <w:r>
        <w:t>a</w:t>
      </w:r>
      <w:r w:rsidRPr="004C4025">
        <w:t xml:space="preserve"> (ES) Nr. 1315/2013 (2013. gada 11. decembris ) par Savienības pamatnostādnēm Eiropas transporta tīkla attīstībai un ar ko atceļ Lēmumu Nr. 661/2010/ES</w:t>
      </w:r>
      <w:r>
        <w:t>.</w:t>
      </w:r>
    </w:p>
  </w:footnote>
  <w:footnote w:id="2">
    <w:p w14:paraId="00879562" w14:textId="77777777" w:rsidR="00E67410" w:rsidRPr="000D1836" w:rsidRDefault="00E67410" w:rsidP="00E67410">
      <w:pPr>
        <w:pStyle w:val="FootnoteText"/>
        <w:jc w:val="both"/>
      </w:pPr>
      <w:r w:rsidRPr="000D1836">
        <w:rPr>
          <w:rStyle w:val="FootnoteReference"/>
        </w:rPr>
        <w:footnoteRef/>
      </w:r>
      <w:r w:rsidRPr="000D1836">
        <w:t xml:space="preserve"> Pieejams: </w:t>
      </w:r>
      <w:hyperlink r:id="rId1" w:history="1">
        <w:r w:rsidRPr="000D1836">
          <w:rPr>
            <w:rStyle w:val="Hyperlink"/>
          </w:rPr>
          <w:t>https://eur-lex.europa.eu/legal-content/LV/TXT/?uri=CELEX%3A32018D1723</w:t>
        </w:r>
      </w:hyperlink>
      <w:r w:rsidRPr="000D1836">
        <w:t>.</w:t>
      </w:r>
    </w:p>
  </w:footnote>
  <w:footnote w:id="3">
    <w:p w14:paraId="6C7A8DE4" w14:textId="77777777" w:rsidR="00E67410" w:rsidRDefault="00E67410" w:rsidP="00E67410">
      <w:pPr>
        <w:pStyle w:val="FootnoteText"/>
        <w:jc w:val="both"/>
      </w:pPr>
      <w:r>
        <w:rPr>
          <w:rStyle w:val="FootnoteReference"/>
        </w:rPr>
        <w:footnoteRef/>
      </w:r>
      <w:r>
        <w:t xml:space="preserve"> </w:t>
      </w:r>
      <w:r w:rsidRPr="00310759">
        <w:t>Eiropas Parlamenta un Padomes Regula (ES) Nr. 1316/2013 ( 2013. gada 11. decembris ), ar ko izveido Eiropas infrastruktūras savienošanas instrumentu, groza Regulu (ES) Nr. 913/2010 un atceļ Regulu (EK) Nr. 680/2007 un Regulu (EK) Nr. 67/2010</w:t>
      </w:r>
      <w:r>
        <w:t xml:space="preserve">; </w:t>
      </w:r>
      <w:r w:rsidRPr="00C74819">
        <w:t>Eiropas Parlamenta un Padomes Regula (ES) 2021/1153 (2021. gada 7. jūlijs), ar ko izveido Eiropas infrastruktūras savienošanas instrumentu un atceļ Regulas (ES) Nr. 1316/2013 un (ES) Nr. 283/2014</w:t>
      </w:r>
      <w:r>
        <w:t>.</w:t>
      </w:r>
    </w:p>
  </w:footnote>
  <w:footnote w:id="4">
    <w:p w14:paraId="34A253FF" w14:textId="77777777" w:rsidR="00E67410" w:rsidRDefault="00E67410" w:rsidP="00E67410">
      <w:pPr>
        <w:pStyle w:val="FootnoteText"/>
        <w:jc w:val="both"/>
      </w:pPr>
      <w:r>
        <w:rPr>
          <w:rStyle w:val="FootnoteReference"/>
        </w:rPr>
        <w:footnoteRef/>
      </w:r>
      <w:r>
        <w:t xml:space="preserve">Pieejams: </w:t>
      </w:r>
      <w:hyperlink r:id="rId2" w:history="1">
        <w:r w:rsidRPr="00480974">
          <w:rPr>
            <w:rStyle w:val="Hyperlink"/>
          </w:rPr>
          <w:t>https://www.railbaltica.org/wp-content/uploads/2017/04/RB_CBA_FINAL_REPORT_0405.pdf</w:t>
        </w:r>
      </w:hyperlink>
      <w:r>
        <w:t>.</w:t>
      </w:r>
    </w:p>
  </w:footnote>
  <w:footnote w:id="5">
    <w:p w14:paraId="527D3FDE" w14:textId="77777777" w:rsidR="00E67410" w:rsidRDefault="00E67410" w:rsidP="00E67410">
      <w:pPr>
        <w:pStyle w:val="FootnoteText"/>
      </w:pPr>
      <w:r>
        <w:rPr>
          <w:rStyle w:val="FootnoteReference"/>
          <w:rFonts w:eastAsia="Calibri"/>
        </w:rPr>
        <w:t>[1]</w:t>
      </w:r>
      <w:r>
        <w:t xml:space="preserve"> Informācija publicēta </w:t>
      </w:r>
      <w:hyperlink r:id="rId3" w:history="1">
        <w:r>
          <w:rPr>
            <w:rStyle w:val="Hyperlink"/>
          </w:rPr>
          <w:t>https://www.cfla.gov.lv/lv/jaunums/par-izmaksu-sadardzinajumu-un-termina-pagarinajuma-pamatotibu-es-fondu-projektos-saistiba-kara-darbibu-ukraina-ieteikumi-un-ricibas-plans</w:t>
        </w:r>
      </w:hyperlink>
      <w:r>
        <w:t xml:space="preserve"> </w:t>
      </w:r>
    </w:p>
  </w:footnote>
  <w:footnote w:id="6">
    <w:p w14:paraId="2A080682" w14:textId="77777777" w:rsidR="00E67410" w:rsidRDefault="00E67410" w:rsidP="00E67410">
      <w:pPr>
        <w:pStyle w:val="FootnoteText"/>
      </w:pPr>
      <w:r>
        <w:rPr>
          <w:rStyle w:val="FootnoteReference"/>
          <w:rFonts w:eastAsia="Calibri"/>
        </w:rPr>
        <w:t>[2]</w:t>
      </w:r>
      <w:r>
        <w:t xml:space="preserve"> Skaidrojums pieejams tīmekļa vietnē: </w:t>
      </w:r>
      <w:hyperlink r:id="rId4" w:history="1">
        <w:r>
          <w:rPr>
            <w:rStyle w:val="Hyperlink"/>
          </w:rPr>
          <w:t>https://www.iub.gov.lv/lv/jaunums/ligumu-vadiba-krizes-apstaklos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410"/>
    <w:rsid w:val="00592359"/>
    <w:rsid w:val="005C7700"/>
    <w:rsid w:val="009244D6"/>
    <w:rsid w:val="00AB3E3D"/>
    <w:rsid w:val="00C4403A"/>
    <w:rsid w:val="00E67410"/>
    <w:rsid w:val="00F80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15A9"/>
  <w15:chartTrackingRefBased/>
  <w15:docId w15:val="{19BDC15B-D7E6-4F9B-93F8-922BC82F3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410"/>
    <w:pPr>
      <w:widowControl w:val="0"/>
      <w:spacing w:after="200" w:line="276" w:lineRule="auto"/>
    </w:pPr>
    <w:rPr>
      <w:rFonts w:eastAsia="Calibri"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7410"/>
    <w:pPr>
      <w:tabs>
        <w:tab w:val="center" w:pos="4320"/>
        <w:tab w:val="right" w:pos="8640"/>
      </w:tabs>
      <w:spacing w:after="0" w:line="240" w:lineRule="auto"/>
    </w:pPr>
  </w:style>
  <w:style w:type="character" w:customStyle="1" w:styleId="HeaderChar">
    <w:name w:val="Header Char"/>
    <w:basedOn w:val="DefaultParagraphFont"/>
    <w:link w:val="Header"/>
    <w:rsid w:val="00E67410"/>
    <w:rPr>
      <w:rFonts w:eastAsia="Calibri" w:cs="Times New Roman"/>
      <w:szCs w:val="24"/>
      <w:lang w:val="lv-LV" w:eastAsia="lv-LV"/>
    </w:rPr>
  </w:style>
  <w:style w:type="paragraph" w:styleId="Footer">
    <w:name w:val="footer"/>
    <w:basedOn w:val="Normal"/>
    <w:link w:val="FooterChar"/>
    <w:uiPriority w:val="99"/>
    <w:unhideWhenUsed/>
    <w:rsid w:val="00E674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7410"/>
    <w:rPr>
      <w:rFonts w:eastAsia="Calibri" w:cs="Times New Roman"/>
      <w:szCs w:val="24"/>
      <w:lang w:val="lv-LV" w:eastAsia="lv-LV"/>
    </w:rPr>
  </w:style>
  <w:style w:type="character" w:styleId="Hyperlink">
    <w:name w:val="Hyperlink"/>
    <w:uiPriority w:val="99"/>
    <w:unhideWhenUsed/>
    <w:rsid w:val="00E67410"/>
    <w:rPr>
      <w:color w:val="0000FF"/>
      <w:u w:val="single"/>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qFormat/>
    <w:rsid w:val="00E67410"/>
    <w:pPr>
      <w:widowControl/>
      <w:spacing w:after="0" w:line="240" w:lineRule="auto"/>
    </w:pPr>
    <w:rPr>
      <w:rFonts w:eastAsia="Times New Roman"/>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E67410"/>
    <w:rPr>
      <w:rFonts w:eastAsia="Times New Roman" w:cs="Times New Roman"/>
      <w:sz w:val="20"/>
      <w:szCs w:val="20"/>
      <w:lang w:val="lv-LV"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E67410"/>
    <w:rPr>
      <w:vertAlign w:val="superscript"/>
    </w:rPr>
  </w:style>
  <w:style w:type="paragraph" w:customStyle="1" w:styleId="CharCharCharChar">
    <w:name w:val="Char Char Char Char"/>
    <w:aliases w:val="Char2"/>
    <w:basedOn w:val="Normal"/>
    <w:next w:val="Normal"/>
    <w:link w:val="FootnoteReference"/>
    <w:uiPriority w:val="99"/>
    <w:qFormat/>
    <w:rsid w:val="00E67410"/>
    <w:pPr>
      <w:widowControl/>
      <w:spacing w:after="160" w:line="240" w:lineRule="exact"/>
      <w:ind w:left="567" w:hanging="499"/>
      <w:jc w:val="both"/>
    </w:pPr>
    <w:rPr>
      <w:rFonts w:eastAsiaTheme="minorHAnsi" w:cstheme="minorBidi"/>
      <w:szCs w:val="22"/>
      <w:vertAlign w:val="superscrip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vceli.lv/wp-content/uploads/2022/05/LVC_Parrekina_metode.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fla.gov.lv/lv/jaunums/par-izmaksu-sadardzinajumu-un-termina-pagarinajuma-pamatotibu-es-fondu-projektos-saistiba-kara-darbibu-ukraina-ieteikumi-un-ricibas-plans" TargetMode="External"/><Relationship Id="rId2" Type="http://schemas.openxmlformats.org/officeDocument/2006/relationships/hyperlink" Target="https://www.railbaltica.org/wp-content/uploads/2017/04/RB_CBA_FINAL_REPORT_0405.pdf" TargetMode="External"/><Relationship Id="rId1" Type="http://schemas.openxmlformats.org/officeDocument/2006/relationships/hyperlink" Target="https://eur-lex.europa.eu/legal-content/LV/TXT/?uri=CELEX%3A32018D1723" TargetMode="External"/><Relationship Id="rId4" Type="http://schemas.openxmlformats.org/officeDocument/2006/relationships/hyperlink" Target="https://www.iub.gov.lv/lv/jaunums/ligumu-vadiba-krizes-apsta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7731</Words>
  <Characters>4407</Characters>
  <Application>Microsoft Office Word</Application>
  <DocSecurity>0</DocSecurity>
  <Lines>36</Lines>
  <Paragraphs>24</Paragraphs>
  <ScaleCrop>false</ScaleCrop>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Vula</dc:creator>
  <cp:keywords/>
  <dc:description/>
  <cp:lastModifiedBy>Inese Biukšāne</cp:lastModifiedBy>
  <cp:revision>2</cp:revision>
  <dcterms:created xsi:type="dcterms:W3CDTF">2022-06-30T12:43:00Z</dcterms:created>
  <dcterms:modified xsi:type="dcterms:W3CDTF">2022-06-30T12:43:00Z</dcterms:modified>
</cp:coreProperties>
</file>