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3678" w:rsidRPr="00E67781" w:rsidRDefault="000D3678" w:rsidP="0064241C">
      <w:pPr>
        <w:spacing w:line="276" w:lineRule="auto"/>
        <w:jc w:val="both"/>
        <w:rPr>
          <w:lang w:val="lv-LV"/>
        </w:rPr>
      </w:pPr>
      <w:bookmarkStart w:id="0" w:name="_GoBack"/>
      <w:bookmarkEnd w:id="0"/>
    </w:p>
    <w:p w:rsidR="00EE60F5" w:rsidRPr="00E67781" w:rsidRDefault="00EE60F5" w:rsidP="0064241C">
      <w:pPr>
        <w:spacing w:line="276" w:lineRule="auto"/>
        <w:rPr>
          <w:lang w:val="lv-LV"/>
        </w:rPr>
      </w:pPr>
    </w:p>
    <w:p w:rsidR="00EE60F5" w:rsidRPr="00E67781" w:rsidRDefault="00D47E78" w:rsidP="00BF3B64">
      <w:pPr>
        <w:spacing w:line="276" w:lineRule="auto"/>
        <w:jc w:val="center"/>
        <w:rPr>
          <w:b/>
          <w:sz w:val="28"/>
          <w:szCs w:val="28"/>
          <w:lang w:val="lv-LV"/>
        </w:rPr>
      </w:pPr>
      <w:r w:rsidRPr="00E67781">
        <w:rPr>
          <w:b/>
          <w:sz w:val="28"/>
          <w:lang w:val="lv-LV"/>
        </w:rPr>
        <w:t>Latvijas Lielo pilsētu asociācijas i</w:t>
      </w:r>
      <w:r w:rsidR="00015248" w:rsidRPr="00E67781">
        <w:rPr>
          <w:b/>
          <w:sz w:val="28"/>
          <w:lang w:val="lv-LV"/>
        </w:rPr>
        <w:t xml:space="preserve">zziņa iebildumiem par </w:t>
      </w:r>
      <w:r w:rsidR="001A1381" w:rsidRPr="00E67781">
        <w:rPr>
          <w:b/>
          <w:bCs/>
          <w:sz w:val="28"/>
          <w:szCs w:val="28"/>
          <w:lang w:val="lv-LV"/>
        </w:rPr>
        <w:t xml:space="preserve">Ministru kabineta noteikumu projektu  </w:t>
      </w:r>
      <w:r w:rsidR="001A1381" w:rsidRPr="00E67781">
        <w:rPr>
          <w:b/>
          <w:bCs/>
          <w:sz w:val="28"/>
          <w:szCs w:val="28"/>
          <w:lang w:val="lv-LV" w:eastAsia="lv-LV"/>
        </w:rPr>
        <w:t xml:space="preserve">“Darbības programmas “Izaugsme un nodarbinātība” </w:t>
      </w:r>
      <w:r w:rsidR="001A1381" w:rsidRPr="00E67781">
        <w:rPr>
          <w:b/>
          <w:bCs/>
          <w:sz w:val="28"/>
          <w:szCs w:val="28"/>
          <w:lang w:val="lv-LV"/>
        </w:rPr>
        <w:t>13.1.2.</w:t>
      </w:r>
      <w:r w:rsidR="00331EEE" w:rsidRPr="00E67781">
        <w:rPr>
          <w:b/>
          <w:bCs/>
          <w:sz w:val="28"/>
          <w:szCs w:val="28"/>
          <w:lang w:val="lv-LV"/>
        </w:rPr>
        <w:t> </w:t>
      </w:r>
      <w:r w:rsidR="001A1381" w:rsidRPr="00E67781">
        <w:rPr>
          <w:b/>
          <w:bCs/>
          <w:sz w:val="28"/>
          <w:szCs w:val="28"/>
          <w:lang w:val="lv-LV"/>
        </w:rPr>
        <w:t>specifiskā atbalsta mērķa „Atveseļošanas pasākumi izglītības un pētniecības nozarē”</w:t>
      </w:r>
      <w:r w:rsidR="001A1381" w:rsidRPr="00E67781">
        <w:rPr>
          <w:b/>
          <w:bCs/>
          <w:sz w:val="28"/>
          <w:szCs w:val="28"/>
          <w:lang w:val="lv-LV" w:eastAsia="lv-LV"/>
        </w:rPr>
        <w:t xml:space="preserve"> 13.1.2.2. pasākuma “Izglītības iestāžu digitalizācija” īstenošanas noteikumi”</w:t>
      </w:r>
      <w:r w:rsidR="00E70047" w:rsidRPr="00E67781">
        <w:rPr>
          <w:b/>
          <w:bCs/>
          <w:sz w:val="28"/>
          <w:szCs w:val="28"/>
          <w:lang w:val="lv-LV" w:eastAsia="lv-LV"/>
        </w:rPr>
        <w:t xml:space="preserve"> </w:t>
      </w:r>
      <w:r w:rsidR="00655FB1" w:rsidRPr="00E67781">
        <w:rPr>
          <w:bCs/>
          <w:i/>
          <w:sz w:val="28"/>
          <w:szCs w:val="28"/>
          <w:lang w:val="lv-LV" w:eastAsia="lv-LV"/>
        </w:rPr>
        <w:t>(</w:t>
      </w:r>
      <w:r w:rsidR="00E70047" w:rsidRPr="00E67781">
        <w:rPr>
          <w:bCs/>
          <w:i/>
          <w:sz w:val="28"/>
          <w:szCs w:val="28"/>
          <w:lang w:val="lv-LV" w:eastAsia="lv-LV"/>
        </w:rPr>
        <w:t>turpmāk – Noteikumu projekts</w:t>
      </w:r>
      <w:r w:rsidR="00655FB1" w:rsidRPr="00E67781">
        <w:rPr>
          <w:bCs/>
          <w:i/>
          <w:sz w:val="28"/>
          <w:szCs w:val="28"/>
          <w:lang w:val="lv-LV" w:eastAsia="lv-LV"/>
        </w:rPr>
        <w:t>)</w:t>
      </w:r>
      <w:r w:rsidR="007F347F" w:rsidRPr="00E67781">
        <w:rPr>
          <w:bCs/>
          <w:i/>
          <w:sz w:val="28"/>
          <w:szCs w:val="28"/>
          <w:lang w:val="lv-LV" w:eastAsia="lv-LV"/>
        </w:rPr>
        <w:t xml:space="preserve"> </w:t>
      </w:r>
      <w:r w:rsidR="007F347F" w:rsidRPr="00E67781">
        <w:rPr>
          <w:b/>
          <w:bCs/>
          <w:sz w:val="28"/>
          <w:szCs w:val="28"/>
          <w:lang w:val="lv-LV" w:eastAsia="lv-LV"/>
        </w:rPr>
        <w:t xml:space="preserve">un </w:t>
      </w:r>
      <w:r w:rsidR="007F347F" w:rsidRPr="00E67781">
        <w:rPr>
          <w:b/>
          <w:sz w:val="28"/>
          <w:szCs w:val="28"/>
        </w:rPr>
        <w:t>tā sākotnējās</w:t>
      </w:r>
      <w:r w:rsidR="007F347F" w:rsidRPr="00E67781">
        <w:rPr>
          <w:b/>
          <w:sz w:val="28"/>
          <w:szCs w:val="28"/>
          <w:lang w:val="lv-LV"/>
        </w:rPr>
        <w:t xml:space="preserve"> ietekmes</w:t>
      </w:r>
      <w:r w:rsidR="007F347F" w:rsidRPr="00E67781">
        <w:rPr>
          <w:b/>
          <w:sz w:val="28"/>
          <w:szCs w:val="28"/>
        </w:rPr>
        <w:t xml:space="preserve"> novērtējuma ziņojumu (anotāciju)</w:t>
      </w:r>
    </w:p>
    <w:p w:rsidR="00EE60F5" w:rsidRPr="00E67781" w:rsidRDefault="00EE60F5" w:rsidP="0064241C">
      <w:pPr>
        <w:spacing w:line="276" w:lineRule="auto"/>
        <w:jc w:val="both"/>
        <w:rPr>
          <w:lang w:val="lv-LV"/>
        </w:rPr>
      </w:pPr>
    </w:p>
    <w:tbl>
      <w:tblPr>
        <w:tblW w:w="1399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4"/>
        <w:gridCol w:w="6202"/>
        <w:gridCol w:w="6591"/>
      </w:tblGrid>
      <w:tr w:rsidR="00D47E78" w:rsidRPr="00E67781" w:rsidTr="00D47E78">
        <w:trPr>
          <w:trHeight w:val="557"/>
          <w:tblHeader/>
        </w:trPr>
        <w:tc>
          <w:tcPr>
            <w:tcW w:w="1063" w:type="dxa"/>
            <w:tcBorders>
              <w:top w:val="single" w:sz="4" w:space="0" w:color="auto"/>
              <w:left w:val="single" w:sz="4" w:space="0" w:color="auto"/>
              <w:bottom w:val="single" w:sz="4" w:space="0" w:color="auto"/>
              <w:right w:val="single" w:sz="4" w:space="0" w:color="auto"/>
            </w:tcBorders>
            <w:vAlign w:val="center"/>
          </w:tcPr>
          <w:p w:rsidR="00D47E78" w:rsidRPr="00E67781" w:rsidRDefault="00D47E78" w:rsidP="007071E5">
            <w:pPr>
              <w:spacing w:line="276" w:lineRule="auto"/>
              <w:jc w:val="center"/>
              <w:rPr>
                <w:b/>
                <w:bCs/>
                <w:sz w:val="28"/>
                <w:szCs w:val="28"/>
                <w:lang w:val="lv-LV"/>
              </w:rPr>
            </w:pPr>
            <w:r w:rsidRPr="00E67781">
              <w:rPr>
                <w:b/>
                <w:bCs/>
                <w:sz w:val="28"/>
                <w:szCs w:val="28"/>
                <w:lang w:val="lv-LV"/>
              </w:rPr>
              <w:t>Nr. p. k.</w:t>
            </w:r>
          </w:p>
        </w:tc>
        <w:tc>
          <w:tcPr>
            <w:tcW w:w="6272" w:type="dxa"/>
            <w:tcBorders>
              <w:top w:val="single" w:sz="4" w:space="0" w:color="auto"/>
              <w:left w:val="single" w:sz="4" w:space="0" w:color="auto"/>
              <w:bottom w:val="single" w:sz="4" w:space="0" w:color="auto"/>
              <w:right w:val="single" w:sz="4" w:space="0" w:color="auto"/>
            </w:tcBorders>
            <w:vAlign w:val="center"/>
          </w:tcPr>
          <w:p w:rsidR="00D47E78" w:rsidRPr="00E67781" w:rsidRDefault="00D47E78" w:rsidP="007071E5">
            <w:pPr>
              <w:spacing w:line="276" w:lineRule="auto"/>
              <w:jc w:val="center"/>
              <w:rPr>
                <w:b/>
                <w:bCs/>
                <w:sz w:val="28"/>
                <w:szCs w:val="28"/>
                <w:lang w:val="lv-LV"/>
              </w:rPr>
            </w:pPr>
            <w:r w:rsidRPr="00E67781">
              <w:rPr>
                <w:b/>
                <w:bCs/>
                <w:sz w:val="28"/>
                <w:szCs w:val="28"/>
                <w:lang w:val="lv-LV"/>
              </w:rPr>
              <w:t>Esošā redakcija</w:t>
            </w:r>
          </w:p>
        </w:tc>
        <w:tc>
          <w:tcPr>
            <w:tcW w:w="6662" w:type="dxa"/>
            <w:tcBorders>
              <w:top w:val="single" w:sz="4" w:space="0" w:color="auto"/>
              <w:left w:val="single" w:sz="4" w:space="0" w:color="auto"/>
              <w:bottom w:val="single" w:sz="4" w:space="0" w:color="auto"/>
              <w:right w:val="single" w:sz="4" w:space="0" w:color="auto"/>
            </w:tcBorders>
            <w:vAlign w:val="center"/>
          </w:tcPr>
          <w:p w:rsidR="00D47E78" w:rsidRPr="00E67781" w:rsidRDefault="00D47E78" w:rsidP="007071E5">
            <w:pPr>
              <w:spacing w:line="276" w:lineRule="auto"/>
              <w:jc w:val="center"/>
              <w:rPr>
                <w:b/>
                <w:bCs/>
                <w:sz w:val="28"/>
                <w:szCs w:val="28"/>
                <w:lang w:val="lv-LV"/>
              </w:rPr>
            </w:pPr>
            <w:r w:rsidRPr="00E67781">
              <w:rPr>
                <w:b/>
                <w:bCs/>
                <w:sz w:val="28"/>
                <w:szCs w:val="28"/>
                <w:lang w:val="lv-LV"/>
              </w:rPr>
              <w:t>Iebildumi</w:t>
            </w:r>
          </w:p>
        </w:tc>
      </w:tr>
      <w:tr w:rsidR="00D47E78" w:rsidRPr="00E67781" w:rsidTr="00D47E78">
        <w:trPr>
          <w:trHeight w:val="308"/>
          <w:tblHeader/>
        </w:trPr>
        <w:tc>
          <w:tcPr>
            <w:tcW w:w="1063" w:type="dxa"/>
            <w:tcBorders>
              <w:top w:val="single" w:sz="4" w:space="0" w:color="auto"/>
              <w:left w:val="single" w:sz="4" w:space="0" w:color="auto"/>
              <w:bottom w:val="single" w:sz="4" w:space="0" w:color="auto"/>
              <w:right w:val="single" w:sz="4" w:space="0" w:color="auto"/>
            </w:tcBorders>
            <w:vAlign w:val="center"/>
          </w:tcPr>
          <w:p w:rsidR="00D47E78" w:rsidRPr="00E67781" w:rsidRDefault="00D47E78" w:rsidP="007071E5">
            <w:pPr>
              <w:spacing w:line="276" w:lineRule="auto"/>
              <w:jc w:val="center"/>
              <w:rPr>
                <w:bCs/>
                <w:i/>
                <w:sz w:val="28"/>
                <w:szCs w:val="28"/>
                <w:lang w:val="lv-LV"/>
              </w:rPr>
            </w:pPr>
            <w:r w:rsidRPr="00E67781">
              <w:rPr>
                <w:bCs/>
                <w:i/>
                <w:sz w:val="28"/>
                <w:szCs w:val="28"/>
                <w:lang w:val="lv-LV"/>
              </w:rPr>
              <w:t>1</w:t>
            </w:r>
          </w:p>
        </w:tc>
        <w:tc>
          <w:tcPr>
            <w:tcW w:w="6272" w:type="dxa"/>
            <w:tcBorders>
              <w:top w:val="single" w:sz="4" w:space="0" w:color="auto"/>
              <w:left w:val="single" w:sz="4" w:space="0" w:color="auto"/>
              <w:bottom w:val="single" w:sz="4" w:space="0" w:color="auto"/>
              <w:right w:val="single" w:sz="4" w:space="0" w:color="auto"/>
            </w:tcBorders>
            <w:vAlign w:val="center"/>
          </w:tcPr>
          <w:p w:rsidR="00D47E78" w:rsidRPr="00E67781" w:rsidRDefault="00D47E78" w:rsidP="007071E5">
            <w:pPr>
              <w:spacing w:line="276" w:lineRule="auto"/>
              <w:jc w:val="center"/>
              <w:rPr>
                <w:bCs/>
                <w:i/>
                <w:sz w:val="28"/>
                <w:szCs w:val="28"/>
                <w:lang w:val="lv-LV"/>
              </w:rPr>
            </w:pPr>
            <w:r w:rsidRPr="00E67781">
              <w:rPr>
                <w:bCs/>
                <w:i/>
                <w:sz w:val="28"/>
                <w:szCs w:val="28"/>
                <w:lang w:val="lv-LV"/>
              </w:rPr>
              <w:t>3</w:t>
            </w:r>
          </w:p>
        </w:tc>
        <w:tc>
          <w:tcPr>
            <w:tcW w:w="6662" w:type="dxa"/>
            <w:tcBorders>
              <w:top w:val="single" w:sz="4" w:space="0" w:color="auto"/>
              <w:left w:val="single" w:sz="4" w:space="0" w:color="auto"/>
              <w:bottom w:val="single" w:sz="4" w:space="0" w:color="auto"/>
              <w:right w:val="single" w:sz="4" w:space="0" w:color="auto"/>
            </w:tcBorders>
            <w:vAlign w:val="center"/>
          </w:tcPr>
          <w:p w:rsidR="00D47E78" w:rsidRPr="00E67781" w:rsidRDefault="00D47E78" w:rsidP="007071E5">
            <w:pPr>
              <w:spacing w:line="276" w:lineRule="auto"/>
              <w:jc w:val="center"/>
              <w:rPr>
                <w:bCs/>
                <w:i/>
                <w:sz w:val="28"/>
                <w:szCs w:val="28"/>
                <w:lang w:val="lv-LV"/>
              </w:rPr>
            </w:pPr>
            <w:r w:rsidRPr="00E67781">
              <w:rPr>
                <w:bCs/>
                <w:i/>
                <w:sz w:val="28"/>
                <w:szCs w:val="28"/>
                <w:lang w:val="lv-LV"/>
              </w:rPr>
              <w:t>4</w:t>
            </w:r>
          </w:p>
        </w:tc>
      </w:tr>
      <w:tr w:rsidR="00D47E78" w:rsidRPr="00E67781" w:rsidTr="00D47E78">
        <w:trPr>
          <w:trHeight w:val="661"/>
        </w:trPr>
        <w:tc>
          <w:tcPr>
            <w:tcW w:w="1063" w:type="dxa"/>
            <w:tcBorders>
              <w:top w:val="single" w:sz="4" w:space="0" w:color="auto"/>
              <w:left w:val="single" w:sz="4" w:space="0" w:color="auto"/>
              <w:bottom w:val="single" w:sz="4" w:space="0" w:color="auto"/>
              <w:right w:val="single" w:sz="4" w:space="0" w:color="auto"/>
            </w:tcBorders>
            <w:vAlign w:val="center"/>
          </w:tcPr>
          <w:p w:rsidR="00D47E78" w:rsidRPr="00E67781" w:rsidRDefault="00D47E78" w:rsidP="00D47E78">
            <w:pPr>
              <w:numPr>
                <w:ilvl w:val="0"/>
                <w:numId w:val="1"/>
              </w:numPr>
              <w:spacing w:line="276" w:lineRule="auto"/>
              <w:jc w:val="both"/>
              <w:rPr>
                <w:bCs/>
                <w:lang w:val="lv-LV"/>
              </w:rPr>
            </w:pPr>
          </w:p>
        </w:tc>
        <w:tc>
          <w:tcPr>
            <w:tcW w:w="6272" w:type="dxa"/>
            <w:tcBorders>
              <w:top w:val="single" w:sz="4" w:space="0" w:color="auto"/>
              <w:left w:val="single" w:sz="4" w:space="0" w:color="auto"/>
              <w:bottom w:val="single" w:sz="4" w:space="0" w:color="auto"/>
              <w:right w:val="single" w:sz="4" w:space="0" w:color="auto"/>
            </w:tcBorders>
          </w:tcPr>
          <w:p w:rsidR="00D47E78" w:rsidRPr="00E67781" w:rsidRDefault="00D47E78" w:rsidP="00D47E78">
            <w:pPr>
              <w:pStyle w:val="CommentText"/>
              <w:spacing w:after="120"/>
              <w:jc w:val="both"/>
              <w:rPr>
                <w:rFonts w:ascii="Times New Roman" w:hAnsi="Times New Roman"/>
                <w:bCs/>
                <w:sz w:val="24"/>
                <w:szCs w:val="24"/>
              </w:rPr>
            </w:pPr>
            <w:r w:rsidRPr="00E67781">
              <w:rPr>
                <w:rFonts w:ascii="Times New Roman" w:hAnsi="Times New Roman"/>
                <w:bCs/>
                <w:sz w:val="24"/>
                <w:szCs w:val="24"/>
              </w:rPr>
              <w:t xml:space="preserve">13. Finansējuma saņēmējs pēc projekta iesnieguma apstiprināšanas ar sadarbības partneriem slēdz sadarbības līgumu, kurā iekļauj informāciju saskaņā ar normatīvo aktu par kārtību, kādā Eiropas Savienības struktūrfondu un Kohēzijas fondu vadībā iesaistītās institūcijas nodrošina plānošanas dokumentu sagatavošanu un šo fondu ieviešanu 2014.–2020. gada plānošanas periodā, kā arī vismaz šādus nosacījumus: </w:t>
            </w:r>
          </w:p>
          <w:p w:rsidR="00D47E78" w:rsidRPr="00E67781" w:rsidRDefault="00D47E78" w:rsidP="00D47E78">
            <w:pPr>
              <w:pStyle w:val="CommentText"/>
              <w:spacing w:after="120"/>
              <w:jc w:val="both"/>
              <w:rPr>
                <w:rFonts w:ascii="Times New Roman" w:hAnsi="Times New Roman"/>
                <w:bCs/>
                <w:sz w:val="24"/>
                <w:szCs w:val="24"/>
              </w:rPr>
            </w:pPr>
            <w:r w:rsidRPr="00E67781">
              <w:rPr>
                <w:rFonts w:ascii="Times New Roman" w:hAnsi="Times New Roman"/>
                <w:bCs/>
                <w:sz w:val="24"/>
                <w:szCs w:val="24"/>
              </w:rPr>
              <w:t>[..]</w:t>
            </w:r>
          </w:p>
          <w:p w:rsidR="00D47E78" w:rsidRPr="00E67781" w:rsidRDefault="00D47E78" w:rsidP="00D47E78">
            <w:pPr>
              <w:pStyle w:val="CommentText"/>
              <w:spacing w:after="120"/>
              <w:jc w:val="both"/>
              <w:rPr>
                <w:rFonts w:ascii="Times New Roman" w:hAnsi="Times New Roman"/>
                <w:bCs/>
                <w:sz w:val="24"/>
                <w:szCs w:val="24"/>
              </w:rPr>
            </w:pPr>
            <w:r w:rsidRPr="00E67781">
              <w:rPr>
                <w:rFonts w:ascii="Times New Roman" w:hAnsi="Times New Roman"/>
                <w:bCs/>
                <w:sz w:val="24"/>
                <w:szCs w:val="24"/>
              </w:rPr>
              <w:t xml:space="preserve">13.6.1. </w:t>
            </w:r>
            <w:r w:rsidRPr="00E67781">
              <w:rPr>
                <w:rFonts w:ascii="Times New Roman" w:hAnsi="Times New Roman"/>
                <w:b/>
                <w:sz w:val="24"/>
                <w:szCs w:val="24"/>
              </w:rPr>
              <w:t>nodrošina izglītības digitalizācijas procesu vadītāju, kas izstrādā un īsteno izglītības iestāžu digitalizācijas plānu iegādātā IT aprīkojuma efektīvam izmantojumam</w:t>
            </w:r>
          </w:p>
          <w:p w:rsidR="00D47E78" w:rsidRPr="00E67781" w:rsidRDefault="00D47E78" w:rsidP="00D47E78">
            <w:pPr>
              <w:pStyle w:val="CommentText"/>
              <w:spacing w:after="0" w:line="276" w:lineRule="auto"/>
              <w:jc w:val="both"/>
              <w:rPr>
                <w:rFonts w:ascii="Times New Roman" w:hAnsi="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rsidR="00D47E78" w:rsidRPr="00E67781" w:rsidRDefault="00297619" w:rsidP="00D47E78">
            <w:pPr>
              <w:pStyle w:val="CommentText"/>
              <w:spacing w:after="0" w:line="276" w:lineRule="auto"/>
              <w:jc w:val="both"/>
              <w:rPr>
                <w:rFonts w:ascii="Times New Roman" w:hAnsi="Times New Roman"/>
                <w:sz w:val="24"/>
                <w:szCs w:val="24"/>
              </w:rPr>
            </w:pPr>
            <w:r>
              <w:rPr>
                <w:rFonts w:ascii="Times New Roman" w:hAnsi="Times New Roman"/>
                <w:b/>
                <w:bCs/>
                <w:sz w:val="24"/>
                <w:szCs w:val="24"/>
              </w:rPr>
              <w:t>Lūdzam i</w:t>
            </w:r>
            <w:r w:rsidR="00D47E78" w:rsidRPr="00E67781">
              <w:rPr>
                <w:rFonts w:ascii="Times New Roman" w:hAnsi="Times New Roman"/>
                <w:b/>
                <w:bCs/>
                <w:sz w:val="24"/>
                <w:szCs w:val="24"/>
              </w:rPr>
              <w:t>ekļaut noteikumu 13.6.1. punkta izmaksas tiešajās attiecināmajās izmaksās</w:t>
            </w:r>
            <w:r w:rsidR="00D47E78" w:rsidRPr="00E67781">
              <w:rPr>
                <w:rFonts w:ascii="Times New Roman" w:hAnsi="Times New Roman"/>
                <w:sz w:val="24"/>
                <w:szCs w:val="24"/>
              </w:rPr>
              <w:t>, ņemot vērā, ka digitalizācijas procesa vadītāja loma ir līdzvērtīga projekta vadītāja lomai. Lielajās pašvaldībās, ar lielu skolēnu skaitu, nav iespējams digitalizācijas procesa vadītāja pienākumus veikt esošajiem darbiniekiem savu pienākumu ietvaros. Pašvaldības ieguldījums projekta īstenošanā balstīsies uz projekta ilgtspējas nodrošināšanu, nodrošinot tehnisko atbalstu, apkopi, apdrošināšanu, kas jau ir papildus finansiālais slogs.</w:t>
            </w:r>
          </w:p>
        </w:tc>
      </w:tr>
      <w:tr w:rsidR="00D47E78" w:rsidRPr="00E67781" w:rsidTr="00D47E78">
        <w:trPr>
          <w:trHeight w:val="661"/>
        </w:trPr>
        <w:tc>
          <w:tcPr>
            <w:tcW w:w="1063" w:type="dxa"/>
            <w:tcBorders>
              <w:top w:val="single" w:sz="4" w:space="0" w:color="auto"/>
              <w:left w:val="single" w:sz="4" w:space="0" w:color="auto"/>
              <w:bottom w:val="single" w:sz="4" w:space="0" w:color="auto"/>
              <w:right w:val="single" w:sz="4" w:space="0" w:color="auto"/>
            </w:tcBorders>
            <w:vAlign w:val="center"/>
          </w:tcPr>
          <w:p w:rsidR="00D47E78" w:rsidRPr="00E67781" w:rsidRDefault="00D47E78" w:rsidP="00D47E78">
            <w:pPr>
              <w:numPr>
                <w:ilvl w:val="0"/>
                <w:numId w:val="1"/>
              </w:numPr>
              <w:spacing w:line="276" w:lineRule="auto"/>
              <w:jc w:val="both"/>
              <w:rPr>
                <w:bCs/>
                <w:lang w:val="lv-LV"/>
              </w:rPr>
            </w:pPr>
          </w:p>
        </w:tc>
        <w:tc>
          <w:tcPr>
            <w:tcW w:w="6272" w:type="dxa"/>
            <w:tcBorders>
              <w:top w:val="single" w:sz="4" w:space="0" w:color="auto"/>
              <w:left w:val="single" w:sz="4" w:space="0" w:color="auto"/>
              <w:bottom w:val="single" w:sz="4" w:space="0" w:color="auto"/>
              <w:right w:val="single" w:sz="4" w:space="0" w:color="auto"/>
            </w:tcBorders>
          </w:tcPr>
          <w:p w:rsidR="00D47E78" w:rsidRPr="00E67781" w:rsidRDefault="00D47E78" w:rsidP="00D47E78">
            <w:pPr>
              <w:pStyle w:val="CommentText"/>
              <w:spacing w:after="120"/>
              <w:jc w:val="both"/>
              <w:rPr>
                <w:rFonts w:ascii="Times New Roman" w:hAnsi="Times New Roman"/>
                <w:bCs/>
                <w:sz w:val="24"/>
                <w:szCs w:val="24"/>
              </w:rPr>
            </w:pPr>
            <w:r w:rsidRPr="00E67781">
              <w:rPr>
                <w:rFonts w:ascii="Times New Roman" w:hAnsi="Times New Roman"/>
                <w:bCs/>
                <w:sz w:val="24"/>
                <w:szCs w:val="24"/>
              </w:rPr>
              <w:t>13. Finansējuma saņēmējs pēc projekta iesnieguma apstiprināšanas ar sadarbības partneriem slēdz sadarbības līgumu, kurā iekļauj informāciju saskaņā ar normatīvo aktu par kārtību, kādā Eiropas Savienības struktūrfondu un Kohēzijas fondu vadībā iesaistītās institūcijas nodrošina plānošanas dokumentu sagatavošanu un šo fondu ieviešanu 2014.–2020. gada plānošanas periodā, kā arī vismaz šādus nosacījumus:</w:t>
            </w:r>
          </w:p>
          <w:p w:rsidR="00D47E78" w:rsidRPr="00E67781" w:rsidRDefault="00D47E78" w:rsidP="00D47E78">
            <w:pPr>
              <w:pStyle w:val="CommentText"/>
              <w:spacing w:before="120" w:after="120"/>
              <w:jc w:val="both"/>
              <w:rPr>
                <w:rFonts w:ascii="Times New Roman" w:hAnsi="Times New Roman"/>
                <w:bCs/>
                <w:sz w:val="24"/>
                <w:szCs w:val="24"/>
              </w:rPr>
            </w:pPr>
            <w:r w:rsidRPr="00E67781">
              <w:rPr>
                <w:rFonts w:ascii="Times New Roman" w:hAnsi="Times New Roman"/>
                <w:bCs/>
                <w:sz w:val="24"/>
                <w:szCs w:val="24"/>
              </w:rPr>
              <w:lastRenderedPageBreak/>
              <w:t>[..]</w:t>
            </w:r>
          </w:p>
          <w:p w:rsidR="00D47E78" w:rsidRPr="00E67781" w:rsidRDefault="00D47E78" w:rsidP="00D47E78">
            <w:pPr>
              <w:pStyle w:val="CommentText"/>
              <w:spacing w:before="120" w:after="120"/>
              <w:jc w:val="both"/>
              <w:rPr>
                <w:rFonts w:ascii="Times New Roman" w:hAnsi="Times New Roman"/>
                <w:bCs/>
                <w:sz w:val="24"/>
                <w:szCs w:val="24"/>
              </w:rPr>
            </w:pPr>
            <w:r w:rsidRPr="00E67781">
              <w:rPr>
                <w:rFonts w:ascii="Times New Roman" w:hAnsi="Times New Roman"/>
                <w:bCs/>
                <w:sz w:val="24"/>
                <w:szCs w:val="24"/>
              </w:rPr>
              <w:t xml:space="preserve">13.6.4. nodrošina projekta ietvaros iegādātā IT aprīkojuma apdrošināšanu, uzturēšanu, apkopi un ilgtspēju, tai skaitā projekta ietvaros iegādātā IT aprīkojuma </w:t>
            </w:r>
            <w:r w:rsidRPr="00E67781">
              <w:rPr>
                <w:rFonts w:ascii="Times New Roman" w:hAnsi="Times New Roman"/>
                <w:b/>
                <w:sz w:val="24"/>
                <w:szCs w:val="24"/>
                <w:u w:val="single"/>
              </w:rPr>
              <w:t>aizvietošanu pēc tā derīgā lietošanas laika</w:t>
            </w:r>
            <w:r w:rsidRPr="00E67781">
              <w:rPr>
                <w:rFonts w:ascii="Times New Roman" w:hAnsi="Times New Roman"/>
                <w:bCs/>
                <w:sz w:val="24"/>
                <w:szCs w:val="24"/>
              </w:rPr>
              <w:t>;</w:t>
            </w:r>
          </w:p>
        </w:tc>
        <w:tc>
          <w:tcPr>
            <w:tcW w:w="6662" w:type="dxa"/>
            <w:tcBorders>
              <w:top w:val="single" w:sz="4" w:space="0" w:color="auto"/>
              <w:left w:val="single" w:sz="4" w:space="0" w:color="auto"/>
              <w:bottom w:val="single" w:sz="4" w:space="0" w:color="auto"/>
              <w:right w:val="single" w:sz="4" w:space="0" w:color="auto"/>
            </w:tcBorders>
          </w:tcPr>
          <w:p w:rsidR="00D47E78" w:rsidRPr="00E67781" w:rsidRDefault="00D47E78" w:rsidP="00D47E78">
            <w:pPr>
              <w:pStyle w:val="naisc"/>
              <w:spacing w:before="0" w:after="120"/>
              <w:jc w:val="both"/>
              <w:rPr>
                <w:shd w:val="clear" w:color="auto" w:fill="FFFFFF"/>
              </w:rPr>
            </w:pPr>
            <w:r w:rsidRPr="00E67781">
              <w:rPr>
                <w:lang w:eastAsia="en-US"/>
              </w:rPr>
              <w:lastRenderedPageBreak/>
              <w:t xml:space="preserve">Vēršam uzmanību, ka 2021. gada 14. maijā, parakstot </w:t>
            </w:r>
            <w:r w:rsidRPr="00E67781">
              <w:t xml:space="preserve">sadarbības memorandu „Dators ikvienam bērnam” (turpmāk – Memorands), tā </w:t>
            </w:r>
            <w:r w:rsidRPr="00E67781">
              <w:rPr>
                <w:b/>
              </w:rPr>
              <w:t xml:space="preserve">dalībnieki apņēmās </w:t>
            </w:r>
            <w:r w:rsidRPr="00E67781">
              <w:rPr>
                <w:b/>
                <w:u w:val="single"/>
              </w:rPr>
              <w:t>iespēju robežās</w:t>
            </w:r>
            <w:r w:rsidRPr="00E67781">
              <w:t xml:space="preserve"> veikt nepieciešamās darbības, lai sasniegtu Memoranda mērķi un īstenotu Memorandā iekļautos uzdevumus, ievērojot tajā ietvertos sadarbības principus, un ka</w:t>
            </w:r>
            <w:r w:rsidRPr="00E67781">
              <w:rPr>
                <w:lang w:eastAsia="en-US"/>
              </w:rPr>
              <w:t xml:space="preserve"> Ministru kabineta 2021. gada 8. jūnija sēdes protokollēmuma (protokols Nr. 46; 42.§) “</w:t>
            </w:r>
            <w:r w:rsidRPr="00E67781">
              <w:rPr>
                <w:bCs/>
                <w:shd w:val="clear" w:color="auto" w:fill="FFFFFF"/>
              </w:rPr>
              <w:t xml:space="preserve">Informatīvais ziņojums “Par Atveseļošanās palīdzības kohēzijai un Eiropas teritorijām </w:t>
            </w:r>
            <w:r w:rsidRPr="00E67781">
              <w:rPr>
                <w:bCs/>
                <w:shd w:val="clear" w:color="auto" w:fill="FFFFFF"/>
              </w:rPr>
              <w:lastRenderedPageBreak/>
              <w:t xml:space="preserve">(REACT-EU) pasākuma izglītības iestāžu digitalizācijai priekšlaicīgu uzsākšanu”” 5. punktā noteikts, ka </w:t>
            </w:r>
            <w:r w:rsidRPr="00E67781">
              <w:rPr>
                <w:b/>
                <w:shd w:val="clear" w:color="auto" w:fill="FFFFFF"/>
              </w:rPr>
              <w:t>pašvaldībām</w:t>
            </w:r>
            <w:r w:rsidRPr="00E67781">
              <w:rPr>
                <w:shd w:val="clear" w:color="auto" w:fill="FFFFFF"/>
              </w:rPr>
              <w:t xml:space="preserve"> kā REACT-EU pasākuma izglītības iestāžu digitalizācijai sadarbības partneriem </w:t>
            </w:r>
            <w:r w:rsidRPr="00E67781">
              <w:rPr>
                <w:b/>
                <w:u w:val="single"/>
                <w:shd w:val="clear" w:color="auto" w:fill="FFFFFF"/>
              </w:rPr>
              <w:t>iespēju robežās</w:t>
            </w:r>
            <w:r w:rsidRPr="00E67781">
              <w:rPr>
                <w:b/>
                <w:shd w:val="clear" w:color="auto" w:fill="FFFFFF"/>
              </w:rPr>
              <w:t xml:space="preserve"> no pašvaldības budžeta līdzekļiem</w:t>
            </w:r>
            <w:r w:rsidRPr="00E67781">
              <w:rPr>
                <w:shd w:val="clear" w:color="auto" w:fill="FFFFFF"/>
              </w:rPr>
              <w:t xml:space="preserve"> nodrošināt papildu informācijas un komunikāciju tehnoloģiju aprīkojuma iegādi tās dibinātajām izglītības iestādēm.</w:t>
            </w:r>
          </w:p>
          <w:p w:rsidR="00D47E78" w:rsidRPr="00E67781" w:rsidRDefault="00D47E78" w:rsidP="00D47E78">
            <w:pPr>
              <w:pStyle w:val="naisc"/>
              <w:spacing w:before="0" w:after="120" w:line="252" w:lineRule="auto"/>
              <w:jc w:val="both"/>
              <w:rPr>
                <w:lang w:eastAsia="en-US"/>
              </w:rPr>
            </w:pPr>
            <w:r w:rsidRPr="00E67781">
              <w:rPr>
                <w:lang w:eastAsia="en-US"/>
              </w:rPr>
              <w:t xml:space="preserve">Vienlaikus atgādinām, ka </w:t>
            </w:r>
            <w:r w:rsidRPr="00E67781">
              <w:t xml:space="preserve">REACT-EU finansējums ir </w:t>
            </w:r>
            <w:r w:rsidRPr="00E67781">
              <w:rPr>
                <w:b/>
              </w:rPr>
              <w:t xml:space="preserve">papildu atbalsts </w:t>
            </w:r>
            <w:r w:rsidRPr="00E67781">
              <w:rPr>
                <w:b/>
                <w:bCs/>
                <w:u w:val="single"/>
                <w:shd w:val="clear" w:color="auto" w:fill="FFFFFF"/>
                <w:lang w:eastAsia="en-US"/>
              </w:rPr>
              <w:t xml:space="preserve">Covid-19 pandēmijas krīzes pārvarēšanai </w:t>
            </w:r>
            <w:r w:rsidRPr="00E67781">
              <w:rPr>
                <w:b/>
                <w:bCs/>
                <w:shd w:val="clear" w:color="auto" w:fill="FFFFFF"/>
                <w:lang w:eastAsia="en-US"/>
              </w:rPr>
              <w:t>u</w:t>
            </w:r>
            <w:r w:rsidRPr="00E67781">
              <w:rPr>
                <w:b/>
                <w:bCs/>
                <w:color w:val="000000"/>
                <w:shd w:val="clear" w:color="auto" w:fill="FFFFFF"/>
                <w:lang w:eastAsia="en-US"/>
              </w:rPr>
              <w:t xml:space="preserve">n </w:t>
            </w:r>
            <w:r w:rsidRPr="00E67781">
              <w:rPr>
                <w:b/>
                <w:bCs/>
                <w:color w:val="000000"/>
                <w:u w:val="single"/>
                <w:shd w:val="clear" w:color="auto" w:fill="FFFFFF"/>
                <w:lang w:eastAsia="en-US"/>
              </w:rPr>
              <w:t xml:space="preserve">seku mazināšanai. </w:t>
            </w:r>
          </w:p>
          <w:p w:rsidR="00D47E78" w:rsidRPr="00E67781" w:rsidRDefault="00D47E78" w:rsidP="00D47E78">
            <w:pPr>
              <w:pStyle w:val="naisc"/>
              <w:spacing w:before="0" w:after="120" w:line="252" w:lineRule="auto"/>
              <w:jc w:val="both"/>
              <w:rPr>
                <w:lang w:eastAsia="en-US"/>
              </w:rPr>
            </w:pPr>
            <w:r w:rsidRPr="00E67781">
              <w:rPr>
                <w:lang w:eastAsia="en-US"/>
              </w:rPr>
              <w:t xml:space="preserve">Noteikumu projektā tiek paredzēts </w:t>
            </w:r>
            <w:r w:rsidRPr="00E67781">
              <w:rPr>
                <w:b/>
                <w:u w:val="single"/>
                <w:lang w:eastAsia="en-US"/>
              </w:rPr>
              <w:t>pienākums</w:t>
            </w:r>
            <w:r w:rsidRPr="00E67781">
              <w:rPr>
                <w:b/>
                <w:lang w:eastAsia="en-US"/>
              </w:rPr>
              <w:t xml:space="preserve"> pašvaldībām</w:t>
            </w:r>
            <w:r w:rsidRPr="00E67781">
              <w:rPr>
                <w:lang w:eastAsia="en-US"/>
              </w:rPr>
              <w:t xml:space="preserve"> ne tikai </w:t>
            </w:r>
            <w:r w:rsidRPr="00E67781">
              <w:rPr>
                <w:b/>
                <w:lang w:eastAsia="en-US"/>
              </w:rPr>
              <w:t>gādāt</w:t>
            </w:r>
            <w:r w:rsidRPr="00E67781">
              <w:rPr>
                <w:lang w:eastAsia="en-US"/>
              </w:rPr>
              <w:t xml:space="preserve"> par iegādātās datortehnikas uzturēšanu un atjaunošanu, bet </w:t>
            </w:r>
            <w:r w:rsidRPr="00E67781">
              <w:rPr>
                <w:b/>
                <w:lang w:eastAsia="en-US"/>
              </w:rPr>
              <w:t xml:space="preserve">arī par datortehnikas aizvietošanu </w:t>
            </w:r>
            <w:r w:rsidRPr="00E67781">
              <w:rPr>
                <w:b/>
                <w:u w:val="single"/>
                <w:lang w:eastAsia="en-US"/>
              </w:rPr>
              <w:t>pēc tā derīgā lietošanas laika</w:t>
            </w:r>
            <w:r w:rsidRPr="00E67781">
              <w:rPr>
                <w:b/>
                <w:lang w:eastAsia="en-US"/>
              </w:rPr>
              <w:t xml:space="preserve">, </w:t>
            </w:r>
            <w:r w:rsidRPr="00E67781">
              <w:rPr>
                <w:lang w:eastAsia="en-US"/>
              </w:rPr>
              <w:t>kas, mūsuprāt, ir pretrunā ar Memorandu un</w:t>
            </w:r>
            <w:r w:rsidRPr="00E67781">
              <w:rPr>
                <w:b/>
                <w:lang w:eastAsia="en-US"/>
              </w:rPr>
              <w:t xml:space="preserve"> </w:t>
            </w:r>
            <w:r w:rsidRPr="00E67781">
              <w:rPr>
                <w:lang w:eastAsia="en-US"/>
              </w:rPr>
              <w:t xml:space="preserve">Ministru kabineta 2021. gada 8. jūnija sēdes protokolā  Nr. 46 fiksēto, kā arī ar </w:t>
            </w:r>
            <w:r w:rsidRPr="00E67781">
              <w:t>REACT-EU instrumenta mērķi.</w:t>
            </w:r>
          </w:p>
          <w:p w:rsidR="00D47E78" w:rsidRPr="00E67781" w:rsidRDefault="00D47E78" w:rsidP="00D47E78">
            <w:pPr>
              <w:pStyle w:val="naisc"/>
              <w:spacing w:before="0" w:after="120"/>
              <w:jc w:val="both"/>
              <w:rPr>
                <w:bCs/>
              </w:rPr>
            </w:pPr>
            <w:r w:rsidRPr="00E67781">
              <w:t xml:space="preserve">Pamatojoties uz minēto, </w:t>
            </w:r>
            <w:r w:rsidRPr="00E67781">
              <w:rPr>
                <w:b/>
              </w:rPr>
              <w:t>uzturam iebildumu</w:t>
            </w:r>
            <w:r w:rsidRPr="00E67781">
              <w:t xml:space="preserve"> un lūdzam </w:t>
            </w:r>
            <w:r w:rsidRPr="00E67781">
              <w:rPr>
                <w:bCs/>
              </w:rPr>
              <w:t>13.6.4. apakšpunktu izteikt šādā redakcijā:</w:t>
            </w:r>
          </w:p>
          <w:p w:rsidR="00D47E78" w:rsidRPr="00E67781" w:rsidRDefault="00D47E78" w:rsidP="00D47E78">
            <w:pPr>
              <w:pStyle w:val="naisc"/>
              <w:spacing w:before="0" w:after="120"/>
              <w:jc w:val="both"/>
              <w:rPr>
                <w:i/>
              </w:rPr>
            </w:pPr>
            <w:r w:rsidRPr="00E67781">
              <w:rPr>
                <w:bCs/>
                <w:i/>
              </w:rPr>
              <w:t>“13.6.4. nodrošina projekta ietvaros iegādātā IT aprīkojuma apdrošināšanu, uzturēšanu, apkopi un ilgtspēju;”.</w:t>
            </w:r>
          </w:p>
        </w:tc>
      </w:tr>
      <w:tr w:rsidR="00D47E78" w:rsidRPr="00E67781" w:rsidTr="00D47E78">
        <w:trPr>
          <w:trHeight w:val="1462"/>
        </w:trPr>
        <w:tc>
          <w:tcPr>
            <w:tcW w:w="1063" w:type="dxa"/>
            <w:tcBorders>
              <w:top w:val="single" w:sz="4" w:space="0" w:color="auto"/>
              <w:left w:val="single" w:sz="4" w:space="0" w:color="auto"/>
              <w:bottom w:val="single" w:sz="4" w:space="0" w:color="auto"/>
              <w:right w:val="single" w:sz="4" w:space="0" w:color="auto"/>
            </w:tcBorders>
            <w:vAlign w:val="center"/>
          </w:tcPr>
          <w:p w:rsidR="00D47E78" w:rsidRPr="00E67781" w:rsidRDefault="00D47E78" w:rsidP="00D47E78">
            <w:pPr>
              <w:numPr>
                <w:ilvl w:val="0"/>
                <w:numId w:val="1"/>
              </w:numPr>
              <w:spacing w:line="276" w:lineRule="auto"/>
              <w:jc w:val="both"/>
              <w:rPr>
                <w:bCs/>
                <w:lang w:val="lv-LV"/>
              </w:rPr>
            </w:pPr>
          </w:p>
        </w:tc>
        <w:tc>
          <w:tcPr>
            <w:tcW w:w="6272" w:type="dxa"/>
            <w:tcBorders>
              <w:top w:val="single" w:sz="4" w:space="0" w:color="auto"/>
              <w:left w:val="single" w:sz="4" w:space="0" w:color="auto"/>
              <w:bottom w:val="single" w:sz="4" w:space="0" w:color="auto"/>
              <w:right w:val="single" w:sz="4" w:space="0" w:color="auto"/>
            </w:tcBorders>
          </w:tcPr>
          <w:p w:rsidR="00D47E78" w:rsidRPr="00E67781" w:rsidRDefault="00D47E78" w:rsidP="00D47E78">
            <w:pPr>
              <w:pStyle w:val="CommentText"/>
              <w:spacing w:line="252" w:lineRule="auto"/>
              <w:jc w:val="both"/>
              <w:rPr>
                <w:rFonts w:ascii="Times New Roman" w:hAnsi="Times New Roman"/>
                <w:i/>
                <w:iCs/>
                <w:sz w:val="24"/>
                <w:szCs w:val="24"/>
              </w:rPr>
            </w:pPr>
            <w:r w:rsidRPr="00E67781">
              <w:rPr>
                <w:rFonts w:ascii="Times New Roman" w:hAnsi="Times New Roman"/>
                <w:i/>
                <w:iCs/>
                <w:sz w:val="24"/>
                <w:szCs w:val="24"/>
              </w:rPr>
              <w:t>Noteikumu projekta anotācija.</w:t>
            </w:r>
          </w:p>
          <w:p w:rsidR="00D47E78" w:rsidRPr="00E67781" w:rsidRDefault="00D47E78" w:rsidP="00D47E78">
            <w:pPr>
              <w:pStyle w:val="CommentText"/>
              <w:spacing w:after="120"/>
              <w:jc w:val="both"/>
              <w:rPr>
                <w:rFonts w:ascii="Times New Roman" w:hAnsi="Times New Roman"/>
                <w:bCs/>
                <w:sz w:val="24"/>
                <w:szCs w:val="24"/>
              </w:rPr>
            </w:pPr>
            <w:r w:rsidRPr="00E67781">
              <w:rPr>
                <w:rFonts w:ascii="Times New Roman" w:hAnsi="Times New Roman"/>
                <w:sz w:val="24"/>
                <w:szCs w:val="24"/>
              </w:rPr>
              <w:t xml:space="preserve">Ministrija nodrošinās tās kā ES fondu atbildīgās iestādes funkciju nodalīšanu no citām funkcijām, tai skaitā funkcijām, kuras tā pildīs kā finansējuma saņēmējs 13.1.2.2. pasākuma projektā. Ņemot vērā, ka 13.1.2.2. pasākuma projekta ietvaros ir paredzēts nodrošināt arī </w:t>
            </w:r>
            <w:r w:rsidRPr="00E67781">
              <w:rPr>
                <w:rFonts w:ascii="Times New Roman" w:hAnsi="Times New Roman"/>
                <w:b/>
                <w:sz w:val="24"/>
                <w:szCs w:val="24"/>
              </w:rPr>
              <w:t>metodisko un konsultatīvo atbalstu pašvaldībām un valsts dibinātajām izglītības iestādēm izglītības procesa digitalizācijas īstenošanai mērķtiecīgai IT risinājumu un aprīkojuma pārvaldībai un izmantošanai mācību procesā</w:t>
            </w:r>
            <w:r w:rsidRPr="00E67781">
              <w:rPr>
                <w:rFonts w:ascii="Times New Roman" w:hAnsi="Times New Roman"/>
                <w:sz w:val="24"/>
                <w:szCs w:val="24"/>
              </w:rPr>
              <w:t xml:space="preserve">, ņemot vērā projektu </w:t>
            </w:r>
            <w:r w:rsidRPr="00E67781">
              <w:rPr>
                <w:rFonts w:ascii="Times New Roman" w:hAnsi="Times New Roman"/>
                <w:sz w:val="24"/>
                <w:szCs w:val="24"/>
              </w:rPr>
              <w:lastRenderedPageBreak/>
              <w:t>iesnieguma vērtēšanas kvalitātes kritērijā izvirzītos nosacījumus par projekta tiešu vai netiešu ietekmi uz i</w:t>
            </w:r>
            <w:r w:rsidRPr="00E67781">
              <w:rPr>
                <w:rFonts w:ascii="Times New Roman" w:eastAsia="Times New Roman" w:hAnsi="Times New Roman"/>
                <w:sz w:val="24"/>
                <w:szCs w:val="24"/>
              </w:rPr>
              <w:t xml:space="preserve">lgtspējīgas sistēmas, kas nodrošina pieeju viedierīcēm katram izglītojamajam un pedagogam visā Latvijā, </w:t>
            </w:r>
            <w:r w:rsidRPr="00E67781">
              <w:rPr>
                <w:rFonts w:ascii="Times New Roman" w:hAnsi="Times New Roman"/>
                <w:sz w:val="24"/>
                <w:szCs w:val="24"/>
              </w:rPr>
              <w:t>izveidi, tam projekta ietvaros Ministrijai un Valsts izglītības satura centram var plānot atbilstošas kompetences cilvēkresursus.</w:t>
            </w:r>
          </w:p>
        </w:tc>
        <w:tc>
          <w:tcPr>
            <w:tcW w:w="6662" w:type="dxa"/>
            <w:tcBorders>
              <w:top w:val="single" w:sz="4" w:space="0" w:color="auto"/>
              <w:left w:val="single" w:sz="4" w:space="0" w:color="auto"/>
              <w:bottom w:val="single" w:sz="4" w:space="0" w:color="auto"/>
              <w:right w:val="single" w:sz="4" w:space="0" w:color="auto"/>
            </w:tcBorders>
          </w:tcPr>
          <w:p w:rsidR="00D47E78" w:rsidRPr="00E67781" w:rsidRDefault="00D47E78" w:rsidP="00D47E78">
            <w:pPr>
              <w:pStyle w:val="naisc"/>
              <w:spacing w:before="0" w:after="120"/>
              <w:jc w:val="both"/>
              <w:rPr>
                <w:lang w:eastAsia="en-US"/>
              </w:rPr>
            </w:pPr>
            <w:r w:rsidRPr="00E67781">
              <w:lastRenderedPageBreak/>
              <w:t xml:space="preserve">Esam iepazinušies ar Izglītības un zinātnes ministrijas pamatojumu iebilduma noraidījumam, nepiekrītam tam un </w:t>
            </w:r>
            <w:r w:rsidRPr="00E67781">
              <w:rPr>
                <w:b/>
                <w:u w:val="single"/>
              </w:rPr>
              <w:t>uzturam sākotnēji sniegto iebildumu</w:t>
            </w:r>
            <w:r w:rsidRPr="00E67781">
              <w:t xml:space="preserve">, ka jēgpilnai un plānveidīgai digitālo tehnoloģiju izmantošanai mācību procesā papildus anotācijā ietvertajam “metodiskajam un konsultatīvajam atbalstam pašvaldībām un valsts dibinātajām izglītības iestādēm izglītības procesa digitalizācijas īstenošanai” ir nepieciešams paredzēt arī </w:t>
            </w:r>
            <w:r w:rsidRPr="00E67781">
              <w:rPr>
                <w:b/>
                <w:bCs/>
              </w:rPr>
              <w:t xml:space="preserve">lietotāju atbalsta dienesta funkciju </w:t>
            </w:r>
            <w:r w:rsidRPr="00E67781">
              <w:t xml:space="preserve">(bojājumu un izmaiņu pieteikumu apstrādes, konsultāciju sniegšanas aprīkojuma izmantošanā) </w:t>
            </w:r>
            <w:r w:rsidRPr="00E67781">
              <w:rPr>
                <w:b/>
                <w:bCs/>
              </w:rPr>
              <w:t>iekļaušanu aprīkojuma iegādes garantijas nosacījumos</w:t>
            </w:r>
            <w:r w:rsidRPr="00E67781">
              <w:t xml:space="preserve">, veicot izmaiņas Elektroniskās </w:t>
            </w:r>
            <w:r w:rsidRPr="00E67781">
              <w:lastRenderedPageBreak/>
              <w:t xml:space="preserve">iepirkumu sistēmas iepirkuma katalogā. Norādām, ka šāda pozitīva pieredze jau ir, 2010.– 2015. gadā </w:t>
            </w:r>
            <w:r w:rsidRPr="00E67781">
              <w:rPr>
                <w:shd w:val="clear" w:color="auto" w:fill="FFFFFF"/>
              </w:rPr>
              <w:t xml:space="preserve">Izglītības un zinātnes ministrija </w:t>
            </w:r>
            <w:r w:rsidRPr="00E67781">
              <w:t>sekmīgi realizējot projektu “Dabaszinātņu un matemātikas kabinetu mācību aprīkojuma piegāde”, kura ietvaros pedagogiem tika sniegti Skolotāju atbalsta dienesta pakalpojumi, apstrādājot 2971 pieteikumus, tajā skaitā 2618 bojājumu pieteikumus, 42 izmaiņu pieprasījumus un sniedzot pedagogiem 311 konsultācijas darbam ar piegādāto aprīkojumu.</w:t>
            </w:r>
          </w:p>
        </w:tc>
      </w:tr>
    </w:tbl>
    <w:p w:rsidR="00B40F4A" w:rsidRPr="00E67781" w:rsidRDefault="00B40F4A" w:rsidP="0064241C">
      <w:pPr>
        <w:spacing w:line="276" w:lineRule="auto"/>
        <w:jc w:val="both"/>
        <w:rPr>
          <w:lang w:val="lv-LV"/>
        </w:rPr>
      </w:pPr>
    </w:p>
    <w:sectPr w:rsidR="00B40F4A" w:rsidRPr="00E67781" w:rsidSect="000253CD">
      <w:footerReference w:type="default" r:id="rId8"/>
      <w:footerReference w:type="first" r:id="rId9"/>
      <w:pgSz w:w="16838" w:h="11906" w:orient="landscape"/>
      <w:pgMar w:top="567" w:right="1440" w:bottom="567"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0C9B" w:rsidRDefault="009E0C9B" w:rsidP="00EE60F5">
      <w:r>
        <w:separator/>
      </w:r>
    </w:p>
  </w:endnote>
  <w:endnote w:type="continuationSeparator" w:id="0">
    <w:p w:rsidR="009E0C9B" w:rsidRDefault="009E0C9B" w:rsidP="00EE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0F5" w:rsidRDefault="00EE60F5">
    <w:pPr>
      <w:pStyle w:val="Footer"/>
      <w:jc w:val="center"/>
    </w:pPr>
    <w:r>
      <w:fldChar w:fldCharType="begin"/>
    </w:r>
    <w:r>
      <w:instrText>PAGE   \* MERGEFORMAT</w:instrText>
    </w:r>
    <w:r>
      <w:fldChar w:fldCharType="separate"/>
    </w:r>
    <w:r w:rsidR="0021679C" w:rsidRPr="0021679C">
      <w:rPr>
        <w:noProof/>
        <w:lang w:val="lv-LV"/>
      </w:rPr>
      <w:t>3</w:t>
    </w:r>
    <w:r>
      <w:fldChar w:fldCharType="end"/>
    </w:r>
  </w:p>
  <w:p w:rsidR="00EE60F5" w:rsidRDefault="00EE60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D23" w:rsidRDefault="004A3D23">
    <w:pPr>
      <w:pStyle w:val="Footer"/>
      <w:jc w:val="center"/>
    </w:pPr>
    <w:r>
      <w:fldChar w:fldCharType="begin"/>
    </w:r>
    <w:r>
      <w:instrText>PAGE   \* MERGEFORMAT</w:instrText>
    </w:r>
    <w:r>
      <w:fldChar w:fldCharType="separate"/>
    </w:r>
    <w:r w:rsidR="0021679C" w:rsidRPr="0021679C">
      <w:rPr>
        <w:noProof/>
        <w:lang w:val="lv-LV"/>
      </w:rPr>
      <w:t>1</w:t>
    </w:r>
    <w:r>
      <w:fldChar w:fldCharType="end"/>
    </w:r>
  </w:p>
  <w:p w:rsidR="004A3D23" w:rsidRDefault="004A3D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0C9B" w:rsidRDefault="009E0C9B" w:rsidP="00EE60F5">
      <w:r>
        <w:separator/>
      </w:r>
    </w:p>
  </w:footnote>
  <w:footnote w:type="continuationSeparator" w:id="0">
    <w:p w:rsidR="009E0C9B" w:rsidRDefault="009E0C9B" w:rsidP="00EE60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8025C"/>
    <w:multiLevelType w:val="hybridMultilevel"/>
    <w:tmpl w:val="97FE7F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nsid w:val="1FB7795A"/>
    <w:multiLevelType w:val="hybridMultilevel"/>
    <w:tmpl w:val="74625412"/>
    <w:lvl w:ilvl="0" w:tplc="B5EEFEBE">
      <w:start w:val="1"/>
      <w:numFmt w:val="decimal"/>
      <w:lvlText w:val="%1."/>
      <w:lvlJc w:val="left"/>
      <w:pPr>
        <w:ind w:left="720" w:hanging="360"/>
      </w:pPr>
      <w:rPr>
        <w:sz w:val="28"/>
        <w:szCs w:val="28"/>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2AFC431D"/>
    <w:multiLevelType w:val="multilevel"/>
    <w:tmpl w:val="CE2878D0"/>
    <w:lvl w:ilvl="0">
      <w:start w:val="4"/>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3">
    <w:nsid w:val="36407F34"/>
    <w:multiLevelType w:val="multilevel"/>
    <w:tmpl w:val="28D6EC4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39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4A641CAE"/>
    <w:multiLevelType w:val="multilevel"/>
    <w:tmpl w:val="C8C6C6C0"/>
    <w:lvl w:ilvl="0">
      <w:start w:val="1"/>
      <w:numFmt w:val="decimal"/>
      <w:lvlText w:val="%1."/>
      <w:lvlJc w:val="left"/>
      <w:pPr>
        <w:ind w:left="786" w:hanging="360"/>
      </w:pPr>
      <w:rPr>
        <w:rFonts w:ascii="Times New Roman" w:hAnsi="Times New Roman" w:cs="Times New Roman" w:hint="default"/>
        <w:b w:val="0"/>
        <w:sz w:val="24"/>
        <w:szCs w:val="24"/>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11B3C28"/>
    <w:multiLevelType w:val="multilevel"/>
    <w:tmpl w:val="177065A0"/>
    <w:lvl w:ilvl="0">
      <w:start w:val="43"/>
      <w:numFmt w:val="decimal"/>
      <w:lvlText w:val="%1."/>
      <w:lvlJc w:val="left"/>
      <w:pPr>
        <w:ind w:left="600" w:hanging="60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nsid w:val="60AB3F81"/>
    <w:multiLevelType w:val="multilevel"/>
    <w:tmpl w:val="871A99DC"/>
    <w:lvl w:ilvl="0">
      <w:start w:val="14"/>
      <w:numFmt w:val="decimal"/>
      <w:lvlText w:val="%1."/>
      <w:lvlJc w:val="left"/>
      <w:pPr>
        <w:ind w:left="600" w:hanging="60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7">
    <w:nsid w:val="69CC0FE5"/>
    <w:multiLevelType w:val="multilevel"/>
    <w:tmpl w:val="F9F0F09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6"/>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4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4"/>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ED7"/>
    <w:rsid w:val="00015248"/>
    <w:rsid w:val="00017A29"/>
    <w:rsid w:val="000253CD"/>
    <w:rsid w:val="00027E92"/>
    <w:rsid w:val="00065E8F"/>
    <w:rsid w:val="00095719"/>
    <w:rsid w:val="000C2D32"/>
    <w:rsid w:val="000D3678"/>
    <w:rsid w:val="00102D80"/>
    <w:rsid w:val="0011030C"/>
    <w:rsid w:val="00116EA2"/>
    <w:rsid w:val="001237FF"/>
    <w:rsid w:val="00145B51"/>
    <w:rsid w:val="0015266A"/>
    <w:rsid w:val="00157E7D"/>
    <w:rsid w:val="00167C7B"/>
    <w:rsid w:val="001A1381"/>
    <w:rsid w:val="001A6C00"/>
    <w:rsid w:val="001B40BD"/>
    <w:rsid w:val="001C097E"/>
    <w:rsid w:val="0021679C"/>
    <w:rsid w:val="002708B6"/>
    <w:rsid w:val="00281B67"/>
    <w:rsid w:val="002832DB"/>
    <w:rsid w:val="00294839"/>
    <w:rsid w:val="00297619"/>
    <w:rsid w:val="002A6B65"/>
    <w:rsid w:val="002B1919"/>
    <w:rsid w:val="002C6E76"/>
    <w:rsid w:val="002D2A20"/>
    <w:rsid w:val="003170A2"/>
    <w:rsid w:val="00331EEE"/>
    <w:rsid w:val="003400C8"/>
    <w:rsid w:val="00384535"/>
    <w:rsid w:val="003863A5"/>
    <w:rsid w:val="00392C9A"/>
    <w:rsid w:val="00393E78"/>
    <w:rsid w:val="003C0469"/>
    <w:rsid w:val="003D4AFF"/>
    <w:rsid w:val="003F1476"/>
    <w:rsid w:val="00431A24"/>
    <w:rsid w:val="00475753"/>
    <w:rsid w:val="004861DC"/>
    <w:rsid w:val="004A26EF"/>
    <w:rsid w:val="004A2974"/>
    <w:rsid w:val="004A3D23"/>
    <w:rsid w:val="004D106A"/>
    <w:rsid w:val="004E000F"/>
    <w:rsid w:val="004E2AD6"/>
    <w:rsid w:val="004E3536"/>
    <w:rsid w:val="004E3ED7"/>
    <w:rsid w:val="004F6854"/>
    <w:rsid w:val="004F7788"/>
    <w:rsid w:val="005300D6"/>
    <w:rsid w:val="005543D8"/>
    <w:rsid w:val="0057036D"/>
    <w:rsid w:val="00576D22"/>
    <w:rsid w:val="005B59A2"/>
    <w:rsid w:val="005C0A87"/>
    <w:rsid w:val="005D6833"/>
    <w:rsid w:val="005E2657"/>
    <w:rsid w:val="005F2DE2"/>
    <w:rsid w:val="005F34BD"/>
    <w:rsid w:val="00602334"/>
    <w:rsid w:val="0064241C"/>
    <w:rsid w:val="00655FB1"/>
    <w:rsid w:val="00666C83"/>
    <w:rsid w:val="0068493D"/>
    <w:rsid w:val="006975F5"/>
    <w:rsid w:val="006A7F19"/>
    <w:rsid w:val="006D1966"/>
    <w:rsid w:val="006F08A1"/>
    <w:rsid w:val="006F70B4"/>
    <w:rsid w:val="007047BE"/>
    <w:rsid w:val="007071E5"/>
    <w:rsid w:val="007177E7"/>
    <w:rsid w:val="00721E14"/>
    <w:rsid w:val="00744119"/>
    <w:rsid w:val="00791134"/>
    <w:rsid w:val="007C0F61"/>
    <w:rsid w:val="007C3313"/>
    <w:rsid w:val="007F347F"/>
    <w:rsid w:val="0080735C"/>
    <w:rsid w:val="008C3004"/>
    <w:rsid w:val="008C5900"/>
    <w:rsid w:val="008E45B7"/>
    <w:rsid w:val="008F3325"/>
    <w:rsid w:val="009006E0"/>
    <w:rsid w:val="00906999"/>
    <w:rsid w:val="00936C34"/>
    <w:rsid w:val="00975E9F"/>
    <w:rsid w:val="009E0C9B"/>
    <w:rsid w:val="00A018FF"/>
    <w:rsid w:val="00A56258"/>
    <w:rsid w:val="00A82029"/>
    <w:rsid w:val="00A829E7"/>
    <w:rsid w:val="00AD35A7"/>
    <w:rsid w:val="00AE1033"/>
    <w:rsid w:val="00B20530"/>
    <w:rsid w:val="00B40BED"/>
    <w:rsid w:val="00B40F4A"/>
    <w:rsid w:val="00B44C19"/>
    <w:rsid w:val="00B55340"/>
    <w:rsid w:val="00B6652D"/>
    <w:rsid w:val="00B66B62"/>
    <w:rsid w:val="00B72ACF"/>
    <w:rsid w:val="00B82AB2"/>
    <w:rsid w:val="00B86B60"/>
    <w:rsid w:val="00B95423"/>
    <w:rsid w:val="00BB66C9"/>
    <w:rsid w:val="00BC7FE3"/>
    <w:rsid w:val="00BF3B64"/>
    <w:rsid w:val="00BF7F6C"/>
    <w:rsid w:val="00C2254C"/>
    <w:rsid w:val="00CB0DF5"/>
    <w:rsid w:val="00D0585F"/>
    <w:rsid w:val="00D13C63"/>
    <w:rsid w:val="00D24E12"/>
    <w:rsid w:val="00D47E78"/>
    <w:rsid w:val="00D6622C"/>
    <w:rsid w:val="00D77F9F"/>
    <w:rsid w:val="00D96677"/>
    <w:rsid w:val="00DE050F"/>
    <w:rsid w:val="00DF6640"/>
    <w:rsid w:val="00DF6E4C"/>
    <w:rsid w:val="00E000FB"/>
    <w:rsid w:val="00E430FF"/>
    <w:rsid w:val="00E67781"/>
    <w:rsid w:val="00E70047"/>
    <w:rsid w:val="00E70FB2"/>
    <w:rsid w:val="00E87256"/>
    <w:rsid w:val="00EA242A"/>
    <w:rsid w:val="00EA7162"/>
    <w:rsid w:val="00EE60F5"/>
    <w:rsid w:val="00EF14E1"/>
    <w:rsid w:val="00F37147"/>
    <w:rsid w:val="00FA6CA6"/>
    <w:rsid w:val="00FB505A"/>
    <w:rsid w:val="00FF06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B698BDA-6217-47B1-9A37-475D07B3E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ED7"/>
    <w:rPr>
      <w:sz w:val="24"/>
      <w:szCs w:val="24"/>
      <w:lang w:val="en-US" w:eastAsia="en-US"/>
    </w:rPr>
  </w:style>
  <w:style w:type="paragraph" w:styleId="Heading1">
    <w:name w:val="heading 1"/>
    <w:basedOn w:val="Normal"/>
    <w:next w:val="Normal"/>
    <w:link w:val="Heading1Char"/>
    <w:qFormat/>
    <w:rsid w:val="004E3ED7"/>
    <w:pPr>
      <w:keepNext/>
      <w:jc w:val="both"/>
      <w:outlineLvl w:val="0"/>
    </w:pPr>
    <w:rPr>
      <w:b/>
      <w:bCs/>
      <w:sz w:val="28"/>
      <w:szCs w:val="28"/>
      <w:lang w:val="lv-LV"/>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locked/>
    <w:rsid w:val="004E3ED7"/>
    <w:rPr>
      <w:b/>
      <w:bCs/>
      <w:sz w:val="28"/>
      <w:szCs w:val="28"/>
      <w:lang w:val="lv-LV" w:eastAsia="en-US" w:bidi="ar-SA"/>
    </w:rPr>
  </w:style>
  <w:style w:type="paragraph" w:customStyle="1" w:styleId="1">
    <w:name w:val="1"/>
    <w:basedOn w:val="Normal"/>
    <w:rsid w:val="004E3ED7"/>
    <w:pPr>
      <w:spacing w:after="160" w:line="240" w:lineRule="exact"/>
    </w:pPr>
    <w:rPr>
      <w:rFonts w:ascii="Tahoma" w:hAnsi="Tahoma"/>
      <w:sz w:val="20"/>
      <w:szCs w:val="20"/>
    </w:rPr>
  </w:style>
  <w:style w:type="paragraph" w:styleId="BalloonText">
    <w:name w:val="Balloon Text"/>
    <w:basedOn w:val="Normal"/>
    <w:semiHidden/>
    <w:rsid w:val="003F1476"/>
    <w:rPr>
      <w:rFonts w:ascii="Tahoma" w:hAnsi="Tahoma" w:cs="Tahoma"/>
      <w:sz w:val="16"/>
      <w:szCs w:val="16"/>
    </w:rPr>
  </w:style>
  <w:style w:type="paragraph" w:customStyle="1" w:styleId="tv2131">
    <w:name w:val="tv2131"/>
    <w:basedOn w:val="Normal"/>
    <w:rsid w:val="00B44C19"/>
    <w:pPr>
      <w:spacing w:line="360" w:lineRule="auto"/>
      <w:ind w:firstLine="300"/>
    </w:pPr>
    <w:rPr>
      <w:color w:val="414142"/>
      <w:sz w:val="20"/>
      <w:szCs w:val="20"/>
      <w:lang w:val="lv-LV" w:eastAsia="lv-LV"/>
    </w:rPr>
  </w:style>
  <w:style w:type="paragraph" w:customStyle="1" w:styleId="tv213">
    <w:name w:val="tv213"/>
    <w:basedOn w:val="Normal"/>
    <w:rsid w:val="0068493D"/>
    <w:pPr>
      <w:spacing w:before="100" w:beforeAutospacing="1" w:after="100" w:afterAutospacing="1"/>
    </w:pPr>
    <w:rPr>
      <w:lang w:val="lv-LV" w:eastAsia="lv-LV"/>
    </w:rPr>
  </w:style>
  <w:style w:type="paragraph" w:styleId="ListParagraph">
    <w:name w:val="List Paragraph"/>
    <w:basedOn w:val="Normal"/>
    <w:link w:val="ListParagraphChar"/>
    <w:uiPriority w:val="34"/>
    <w:qFormat/>
    <w:rsid w:val="00DF6640"/>
    <w:pPr>
      <w:ind w:left="720"/>
      <w:contextualSpacing/>
    </w:pPr>
    <w:rPr>
      <w:rFonts w:eastAsia="Calibri"/>
      <w:szCs w:val="22"/>
      <w:lang w:val="lv-LV"/>
    </w:rPr>
  </w:style>
  <w:style w:type="character" w:customStyle="1" w:styleId="ListParagraphChar">
    <w:name w:val="List Paragraph Char"/>
    <w:link w:val="ListParagraph"/>
    <w:rsid w:val="00DF6640"/>
    <w:rPr>
      <w:rFonts w:eastAsia="Calibri"/>
      <w:sz w:val="24"/>
      <w:szCs w:val="22"/>
      <w:lang w:val="lv-LV"/>
    </w:rPr>
  </w:style>
  <w:style w:type="paragraph" w:styleId="Header">
    <w:name w:val="header"/>
    <w:basedOn w:val="Normal"/>
    <w:link w:val="HeaderChar"/>
    <w:rsid w:val="00EE60F5"/>
    <w:pPr>
      <w:tabs>
        <w:tab w:val="center" w:pos="4153"/>
        <w:tab w:val="right" w:pos="8306"/>
      </w:tabs>
    </w:pPr>
  </w:style>
  <w:style w:type="character" w:customStyle="1" w:styleId="HeaderChar">
    <w:name w:val="Header Char"/>
    <w:link w:val="Header"/>
    <w:rsid w:val="00EE60F5"/>
    <w:rPr>
      <w:sz w:val="24"/>
      <w:szCs w:val="24"/>
      <w:lang w:val="en-US" w:eastAsia="en-US"/>
    </w:rPr>
  </w:style>
  <w:style w:type="paragraph" w:styleId="Footer">
    <w:name w:val="footer"/>
    <w:basedOn w:val="Normal"/>
    <w:link w:val="FooterChar"/>
    <w:uiPriority w:val="99"/>
    <w:rsid w:val="00EE60F5"/>
    <w:pPr>
      <w:tabs>
        <w:tab w:val="center" w:pos="4153"/>
        <w:tab w:val="right" w:pos="8306"/>
      </w:tabs>
    </w:pPr>
  </w:style>
  <w:style w:type="character" w:customStyle="1" w:styleId="FooterChar">
    <w:name w:val="Footer Char"/>
    <w:link w:val="Footer"/>
    <w:uiPriority w:val="99"/>
    <w:rsid w:val="00EE60F5"/>
    <w:rPr>
      <w:sz w:val="24"/>
      <w:szCs w:val="24"/>
      <w:lang w:val="en-US" w:eastAsia="en-US"/>
    </w:rPr>
  </w:style>
  <w:style w:type="paragraph" w:styleId="FootnoteText">
    <w:name w:val="footnote text"/>
    <w:aliases w:val="Footnote Text Char2 Char,Footnote Text Char1 Char2 Char,Footnote Text Char Char Char Char,Footnote Text Char1 Char Char Char Char,Footnote Text Char Char Char Char Char Char,Rakstz.,Footnote,Fußnote,single space,ft Rakstz. Rakstz,Char,ft"/>
    <w:basedOn w:val="Normal"/>
    <w:link w:val="FootnoteTextChar"/>
    <w:uiPriority w:val="99"/>
    <w:unhideWhenUsed/>
    <w:qFormat/>
    <w:rsid w:val="007177E7"/>
    <w:rPr>
      <w:rFonts w:ascii="Calibri" w:eastAsia="Calibri" w:hAnsi="Calibri"/>
      <w:sz w:val="20"/>
      <w:szCs w:val="20"/>
      <w:lang w:val="lv-LV"/>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Char,Footnote Char,ft Char"/>
    <w:link w:val="FootnoteText"/>
    <w:uiPriority w:val="99"/>
    <w:rsid w:val="007177E7"/>
    <w:rPr>
      <w:rFonts w:ascii="Calibri" w:eastAsia="Calibri" w:hAnsi="Calibri"/>
      <w:lang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
    <w:link w:val="CharCharCharChar"/>
    <w:uiPriority w:val="99"/>
    <w:unhideWhenUsed/>
    <w:rsid w:val="007177E7"/>
    <w:rPr>
      <w:vertAlign w:val="superscript"/>
    </w:rPr>
  </w:style>
  <w:style w:type="character" w:styleId="CommentReference">
    <w:name w:val="annotation reference"/>
    <w:unhideWhenUsed/>
    <w:rsid w:val="007177E7"/>
    <w:rPr>
      <w:sz w:val="16"/>
      <w:szCs w:val="16"/>
    </w:rPr>
  </w:style>
  <w:style w:type="paragraph" w:styleId="CommentText">
    <w:name w:val="annotation text"/>
    <w:basedOn w:val="Normal"/>
    <w:link w:val="CommentTextChar"/>
    <w:uiPriority w:val="99"/>
    <w:unhideWhenUsed/>
    <w:rsid w:val="007177E7"/>
    <w:pPr>
      <w:spacing w:after="160"/>
    </w:pPr>
    <w:rPr>
      <w:rFonts w:ascii="Calibri" w:eastAsia="Calibri" w:hAnsi="Calibri"/>
      <w:sz w:val="20"/>
      <w:szCs w:val="20"/>
      <w:lang w:val="lv-LV"/>
    </w:rPr>
  </w:style>
  <w:style w:type="character" w:customStyle="1" w:styleId="CommentTextChar">
    <w:name w:val="Comment Text Char"/>
    <w:link w:val="CommentText"/>
    <w:uiPriority w:val="99"/>
    <w:rsid w:val="007177E7"/>
    <w:rPr>
      <w:rFonts w:ascii="Calibri" w:eastAsia="Calibri" w:hAnsi="Calibri"/>
      <w:lang w:eastAsia="en-US"/>
    </w:rPr>
  </w:style>
  <w:style w:type="paragraph" w:customStyle="1" w:styleId="CharCharCharChar">
    <w:name w:val="Char Char Char Char"/>
    <w:aliases w:val="Char2"/>
    <w:basedOn w:val="Normal"/>
    <w:next w:val="Normal"/>
    <w:link w:val="FootnoteReference"/>
    <w:uiPriority w:val="99"/>
    <w:semiHidden/>
    <w:rsid w:val="007177E7"/>
    <w:pPr>
      <w:keepNext/>
      <w:keepLines/>
      <w:spacing w:before="120" w:after="160" w:line="240" w:lineRule="exact"/>
      <w:jc w:val="both"/>
      <w:outlineLvl w:val="0"/>
    </w:pPr>
    <w:rPr>
      <w:sz w:val="20"/>
      <w:szCs w:val="20"/>
      <w:vertAlign w:val="superscript"/>
      <w:lang w:val="lv-LV" w:eastAsia="lv-LV"/>
    </w:rPr>
  </w:style>
  <w:style w:type="paragraph" w:customStyle="1" w:styleId="naisc">
    <w:name w:val="naisc"/>
    <w:basedOn w:val="Normal"/>
    <w:rsid w:val="003863A5"/>
    <w:pPr>
      <w:spacing w:before="75" w:after="75"/>
      <w:jc w:val="center"/>
    </w:pPr>
    <w:rPr>
      <w:lang w:val="lv-LV" w:eastAsia="lv-LV"/>
    </w:rPr>
  </w:style>
  <w:style w:type="paragraph" w:styleId="CommentSubject">
    <w:name w:val="annotation subject"/>
    <w:basedOn w:val="CommentText"/>
    <w:next w:val="CommentText"/>
    <w:link w:val="CommentSubjectChar"/>
    <w:rsid w:val="00167C7B"/>
    <w:pPr>
      <w:spacing w:after="0"/>
    </w:pPr>
    <w:rPr>
      <w:rFonts w:ascii="Times New Roman" w:eastAsia="Times New Roman" w:hAnsi="Times New Roman"/>
      <w:b/>
      <w:bCs/>
      <w:lang w:val="en-US"/>
    </w:rPr>
  </w:style>
  <w:style w:type="character" w:customStyle="1" w:styleId="CommentSubjectChar">
    <w:name w:val="Comment Subject Char"/>
    <w:link w:val="CommentSubject"/>
    <w:rsid w:val="00167C7B"/>
    <w:rPr>
      <w:rFonts w:ascii="Calibri" w:eastAsia="Calibri" w:hAnsi="Calibri"/>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90683">
      <w:bodyDiv w:val="1"/>
      <w:marLeft w:val="0"/>
      <w:marRight w:val="0"/>
      <w:marTop w:val="0"/>
      <w:marBottom w:val="0"/>
      <w:divBdr>
        <w:top w:val="none" w:sz="0" w:space="0" w:color="auto"/>
        <w:left w:val="none" w:sz="0" w:space="0" w:color="auto"/>
        <w:bottom w:val="none" w:sz="0" w:space="0" w:color="auto"/>
        <w:right w:val="none" w:sz="0" w:space="0" w:color="auto"/>
      </w:divBdr>
    </w:div>
    <w:div w:id="328991462">
      <w:bodyDiv w:val="1"/>
      <w:marLeft w:val="0"/>
      <w:marRight w:val="0"/>
      <w:marTop w:val="0"/>
      <w:marBottom w:val="0"/>
      <w:divBdr>
        <w:top w:val="none" w:sz="0" w:space="0" w:color="auto"/>
        <w:left w:val="none" w:sz="0" w:space="0" w:color="auto"/>
        <w:bottom w:val="none" w:sz="0" w:space="0" w:color="auto"/>
        <w:right w:val="none" w:sz="0" w:space="0" w:color="auto"/>
      </w:divBdr>
    </w:div>
    <w:div w:id="545601243">
      <w:bodyDiv w:val="1"/>
      <w:marLeft w:val="0"/>
      <w:marRight w:val="0"/>
      <w:marTop w:val="0"/>
      <w:marBottom w:val="0"/>
      <w:divBdr>
        <w:top w:val="none" w:sz="0" w:space="0" w:color="auto"/>
        <w:left w:val="none" w:sz="0" w:space="0" w:color="auto"/>
        <w:bottom w:val="none" w:sz="0" w:space="0" w:color="auto"/>
        <w:right w:val="none" w:sz="0" w:space="0" w:color="auto"/>
      </w:divBdr>
    </w:div>
    <w:div w:id="745104705">
      <w:bodyDiv w:val="1"/>
      <w:marLeft w:val="0"/>
      <w:marRight w:val="0"/>
      <w:marTop w:val="0"/>
      <w:marBottom w:val="0"/>
      <w:divBdr>
        <w:top w:val="none" w:sz="0" w:space="0" w:color="auto"/>
        <w:left w:val="none" w:sz="0" w:space="0" w:color="auto"/>
        <w:bottom w:val="none" w:sz="0" w:space="0" w:color="auto"/>
        <w:right w:val="none" w:sz="0" w:space="0" w:color="auto"/>
      </w:divBdr>
    </w:div>
    <w:div w:id="883640564">
      <w:bodyDiv w:val="1"/>
      <w:marLeft w:val="0"/>
      <w:marRight w:val="0"/>
      <w:marTop w:val="0"/>
      <w:marBottom w:val="0"/>
      <w:divBdr>
        <w:top w:val="none" w:sz="0" w:space="0" w:color="auto"/>
        <w:left w:val="none" w:sz="0" w:space="0" w:color="auto"/>
        <w:bottom w:val="none" w:sz="0" w:space="0" w:color="auto"/>
        <w:right w:val="none" w:sz="0" w:space="0" w:color="auto"/>
      </w:divBdr>
    </w:div>
    <w:div w:id="1076168984">
      <w:bodyDiv w:val="1"/>
      <w:marLeft w:val="0"/>
      <w:marRight w:val="0"/>
      <w:marTop w:val="0"/>
      <w:marBottom w:val="0"/>
      <w:divBdr>
        <w:top w:val="none" w:sz="0" w:space="0" w:color="auto"/>
        <w:left w:val="none" w:sz="0" w:space="0" w:color="auto"/>
        <w:bottom w:val="none" w:sz="0" w:space="0" w:color="auto"/>
        <w:right w:val="none" w:sz="0" w:space="0" w:color="auto"/>
      </w:divBdr>
    </w:div>
    <w:div w:id="1089618900">
      <w:bodyDiv w:val="1"/>
      <w:marLeft w:val="0"/>
      <w:marRight w:val="0"/>
      <w:marTop w:val="0"/>
      <w:marBottom w:val="0"/>
      <w:divBdr>
        <w:top w:val="none" w:sz="0" w:space="0" w:color="auto"/>
        <w:left w:val="none" w:sz="0" w:space="0" w:color="auto"/>
        <w:bottom w:val="none" w:sz="0" w:space="0" w:color="auto"/>
        <w:right w:val="none" w:sz="0" w:space="0" w:color="auto"/>
      </w:divBdr>
    </w:div>
    <w:div w:id="1466385870">
      <w:bodyDiv w:val="1"/>
      <w:marLeft w:val="0"/>
      <w:marRight w:val="0"/>
      <w:marTop w:val="0"/>
      <w:marBottom w:val="0"/>
      <w:divBdr>
        <w:top w:val="none" w:sz="0" w:space="0" w:color="auto"/>
        <w:left w:val="none" w:sz="0" w:space="0" w:color="auto"/>
        <w:bottom w:val="none" w:sz="0" w:space="0" w:color="auto"/>
        <w:right w:val="none" w:sz="0" w:space="0" w:color="auto"/>
      </w:divBdr>
    </w:div>
    <w:div w:id="1503008932">
      <w:bodyDiv w:val="1"/>
      <w:marLeft w:val="0"/>
      <w:marRight w:val="0"/>
      <w:marTop w:val="0"/>
      <w:marBottom w:val="0"/>
      <w:divBdr>
        <w:top w:val="none" w:sz="0" w:space="0" w:color="auto"/>
        <w:left w:val="none" w:sz="0" w:space="0" w:color="auto"/>
        <w:bottom w:val="none" w:sz="0" w:space="0" w:color="auto"/>
        <w:right w:val="none" w:sz="0" w:space="0" w:color="auto"/>
      </w:divBdr>
    </w:div>
    <w:div w:id="1668437016">
      <w:bodyDiv w:val="1"/>
      <w:marLeft w:val="0"/>
      <w:marRight w:val="0"/>
      <w:marTop w:val="0"/>
      <w:marBottom w:val="0"/>
      <w:divBdr>
        <w:top w:val="none" w:sz="0" w:space="0" w:color="auto"/>
        <w:left w:val="none" w:sz="0" w:space="0" w:color="auto"/>
        <w:bottom w:val="none" w:sz="0" w:space="0" w:color="auto"/>
        <w:right w:val="none" w:sz="0" w:space="0" w:color="auto"/>
      </w:divBdr>
    </w:div>
    <w:div w:id="1706559849">
      <w:bodyDiv w:val="1"/>
      <w:marLeft w:val="0"/>
      <w:marRight w:val="0"/>
      <w:marTop w:val="0"/>
      <w:marBottom w:val="0"/>
      <w:divBdr>
        <w:top w:val="none" w:sz="0" w:space="0" w:color="auto"/>
        <w:left w:val="none" w:sz="0" w:space="0" w:color="auto"/>
        <w:bottom w:val="none" w:sz="0" w:space="0" w:color="auto"/>
        <w:right w:val="none" w:sz="0" w:space="0" w:color="auto"/>
      </w:divBdr>
    </w:div>
    <w:div w:id="1906645390">
      <w:bodyDiv w:val="1"/>
      <w:marLeft w:val="0"/>
      <w:marRight w:val="0"/>
      <w:marTop w:val="0"/>
      <w:marBottom w:val="0"/>
      <w:divBdr>
        <w:top w:val="none" w:sz="0" w:space="0" w:color="auto"/>
        <w:left w:val="none" w:sz="0" w:space="0" w:color="auto"/>
        <w:bottom w:val="none" w:sz="0" w:space="0" w:color="auto"/>
        <w:right w:val="none" w:sz="0" w:space="0" w:color="auto"/>
      </w:divBdr>
    </w:div>
    <w:div w:id="1945530976">
      <w:bodyDiv w:val="1"/>
      <w:marLeft w:val="0"/>
      <w:marRight w:val="0"/>
      <w:marTop w:val="0"/>
      <w:marBottom w:val="0"/>
      <w:divBdr>
        <w:top w:val="none" w:sz="0" w:space="0" w:color="auto"/>
        <w:left w:val="none" w:sz="0" w:space="0" w:color="auto"/>
        <w:bottom w:val="none" w:sz="0" w:space="0" w:color="auto"/>
        <w:right w:val="none" w:sz="0" w:space="0" w:color="auto"/>
      </w:divBdr>
    </w:div>
    <w:div w:id="211258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04856-F2D3-407C-AA66-06BFBAF58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3634</Words>
  <Characters>2072</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iebildumiem vai priekšlikumiem</vt:lpstr>
      <vt:lpstr>Izziņa iebildumiem vai priekšlikumiem</vt:lpstr>
    </vt:vector>
  </TitlesOfParts>
  <Company>dome</Company>
  <LinksUpToDate>false</LinksUpToDate>
  <CharactersWithSpaces>5695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iebildumiem vai priekšlikumiem</dc:title>
  <dc:subject/>
  <dc:creator>Administrators</dc:creator>
  <cp:keywords/>
  <cp:lastModifiedBy>Edgars Lore</cp:lastModifiedBy>
  <cp:revision>2</cp:revision>
  <cp:lastPrinted>2010-03-04T15:09:00Z</cp:lastPrinted>
  <dcterms:created xsi:type="dcterms:W3CDTF">2021-11-22T08:11:00Z</dcterms:created>
  <dcterms:modified xsi:type="dcterms:W3CDTF">2021-11-22T08:11:00Z</dcterms:modified>
</cp:coreProperties>
</file>