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23-TA-2613: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Civilprocesa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nauda 80 euro apmērā maksājama: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blakus sūdzību, izņemot blakus sūdzību par lēmumu, ar kuru atteikts atbrīvot no drošības naudas vai tiesas izdevumu samaksas valsts ienākumos;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sūdzību par maksātnespējas procesa administratora (turpmāk — administrators) vai zvērināta tiesu izpildītāja, vai zvērināta notāra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sūdzību par Maksātnespējas kontroles dienesta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sūdzību par Rūpnieciskā īpašuma apelācijas padomes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Maksātnespējas procesa administratoru asociācija"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Maksātnespējas procesa administrācija” (turpmāk – LMPAA) iebilst pret būtisku valsts nodevas (drošības naudas) palielināšanu (no eur 25,00 uz eur 80,00) par Maksātnespējas kontroles dienesta lēmumu, ko šajā gadījumā paredzēts maksāt maksātnespējas procesa administratoram. Minētais palielinājums ir vairāk kā trīs reizes, kas nav nekādā gadījumā samērojams ar maksātnespējas procesa administratoru vidējiem ienākumiem (gada ietvaros kopumā aptuveni eur 5000,00 apmērā, neņemot vērā kredītiestāžu maksātnespējas procesus). Vēl jo vairāk nav ņemts vērā, ka maksātnespējas procesa administratori ir valsts amatpersonas, uz kuru rēķina nebūtu korekti īstenot valsts nodevu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līdzšinējās valsts nodevas 25 euro apmērā vietā par sūdzību par Maksātnespējas kontroles dienesta lēmumu būs jāmaksā minimālais drošības naudas apmērs - 80 euro. Ja tiesa sūdzību pilnīgi vai daļēji apmierinās, drošības nauda atmaksājama. Ņemot vērā minēto, nevar piekrist tam, ka valsts nodevu reforma tiek īstenota uz maksātnespējas procesa administratoru rēķina, jo pamatotas sūdzības gadījumā šie 80 euro netiks paturēti valsts budžetā, bet tiks atmaksāti maksātnespējas procesa administratoram. Turklāt visā Civilprocesa likumā minimālais drošības naudas apmērs būs 80 euro un Tieslietu ministrija nesaskata pamatu īpaši izcelt sūdzības par Maksātnespējas kontroles dienesta lēmumiem un par tām noteikt mazāku drošības naudas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nauda 80 euro apmērā maksājama: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blakus sūdzību, izņemot blakus sūdzību par lēmumu, ar kuru atteikts atbrīvot no drošības naudas vai tiesas izdevumu samaksas valsts ienākumos;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sūdzību par maksātnespējas procesa administratora (turpmāk — administrators) vai zvērināta tiesu izpildītāja, vai zvērināta notāra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sūdzību par Maksātnespējas kontroles dienesta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sūdzību par Rūpnieciskā īpašuma apelācijas padomes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Pieteikumam pievieno dokumentu, kas apstiprina valsts nodevas samaksu, izņemot gadījumu, kad samaksa veikta tiešsaistes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12.oktobra noteikumi Nr.972 "Noteikumi par kārtību, kā veicami maksājumi valsts budžetā un tie atzīstami par saņemtiem, un prasībām tiešsaistes maksājumu pakalpojumu izmantošanai norēķinos ar valsts budžetu"  paredz, </w:t>
            </w:r>
            <w:r w:rsidR="00000000" w:rsidRPr="00000000" w:rsidDel="00000000">
              <w:rPr>
                <w:u w:val="single"/>
                <w:rtl w:val="0"/>
              </w:rPr>
              <w:t xml:space="preserve">lai maksājumu atzītu par saņemtu valsts budžetā, valsts budžeta maksājumus administrējošā institūcija izmanto budžeta elektronisko norēķinu sistēmu "eKase", tās tiešsaistes datu apmaiņas moduli vai citu tiesību aktos noteiktu informācijas apmaiņas risinājumu ar Valsts kasi. Valsts budžeta maksājumus administrējošai institūcijai ir pienākums pārliecināties, ka veiktie maksājumi valsts budžeta kontā Valsts kasē ir uzskaitīti atbilstoši normatīvajiem aktiem.</w:t>
            </w:r>
            <w:r w:rsidR="00000000" w:rsidRPr="00000000" w:rsidDel="00000000">
              <w:rPr>
                <w:rtl w:val="0"/>
              </w:rPr>
              <w:t xml:space="preserve"> Savukārt Civilprocesa likumā, kā arī tagad grozījumos ietvertā norma nosaka, ka </w:t>
            </w:r>
            <w:r w:rsidR="00000000" w:rsidRPr="00000000" w:rsidDel="00000000">
              <w:rPr>
                <w:u w:val="single"/>
                <w:rtl w:val="0"/>
              </w:rPr>
              <w:t xml:space="preserve">pieteikumam ir jāpievieno dokuments, kas apstiprina valsts nodevas samaksu,</w:t>
            </w:r>
            <w:r w:rsidR="00000000" w:rsidRPr="00000000" w:rsidDel="00000000">
              <w:rPr>
                <w:rtl w:val="0"/>
              </w:rPr>
              <w:t xml:space="preserve"> izņemot gadījumu, kad samaksa veikta tiešsaistes sistēmā. Lūdzam likumprojekta anotācijā skaidrot, kāpēc konkrētajā gadījumā ir pieļaujama cita kārtība, nekā tā noteikta norādītajos noteikumos (kas turklāt neparedz izņēmumu noteikšanas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likumprojektu netiek mainīta Civilprocesa likumā esošā kārtība, proti, norma neievieš jaunu prasību par maksājuma dokumenta pievienošanu. Šobrīd spēkā esošā Civilprocesa likuma 406.</w:t>
            </w:r>
            <w:r w:rsidR="00000000" w:rsidRPr="00000000" w:rsidDel="00000000">
              <w:rPr>
                <w:vertAlign w:val="superscript"/>
                <w:rtl w:val="0"/>
              </w:rPr>
              <w:t xml:space="preserve">3</w:t>
            </w:r>
            <w:r w:rsidR="00000000" w:rsidRPr="00000000" w:rsidDel="00000000">
              <w:rPr>
                <w:rtl w:val="0"/>
              </w:rPr>
              <w:t xml:space="preserve"> panta trešā daļa noteic, ka: "pieteikumam pievieno dokumentus, kas apstiprina valsts nodevas un ar tiesas dokumentu izsniegšanu saistīto izdevumu samaksu, izņemot gadījumu, kad samaksa veikta tiešsaistes sistēmā." Tāpat arī virknē citu Civilprocesa likuma normu ir šāda prasība par maksājuma dokumenta pievienošanu. Piemēram, Civilprocesa likuma 129.panta otrās daļas 1.punkts (kas attiecas uz prasības pieteikuma iesniegšanu tiesā) arī paredz šādu prasību.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personas nereti maksājuma uzdevuma pamatojumā nenorāda, par ko veic maksājumu (proti, netiek norādīts lietas numuru, ja tāds ir, dalībnieki utt), lai tiesa vispār varētu identificēt tieši kuras civillietas ietvaros attiecīgais maksājums ir veikts. Tāpat ir pieteicēji, kuri iesniedz vairākus pieteikumus tiesā (pieteikumu skaits mērāms simtos). Tiesu informatīvā sistēma ir sasaistīta ar Valsts kasi un tiesas pieteikumam piesaista konkrētos maksājumus, bet tiesnešiem bez dokumenta un maksājuma references būtu ļoti apgrūtinoši meklēt maksājumu tikai pēc pieteicēja.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pieņem zināšanai Finanšu ministrijas iebildumu, taču tas nebūtu risināms šī likumprojekta ietvaros, bet gan par to būtu nepieciešamas iekšējas diskusijas, kā arī plašākās diskusijas Tieslietu ministrijas darba grupu ietvaros, lai rastu šai situācijai piemērotāko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Pieteikumam pievieno dokumentu, kas apstiprina valsts nodevas samaksu, izņemot gadījumu, kad samaksa veikta tiešsaistes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Maksātnespējas procesa administratoru asociācija"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LMPAA uzskata, ka nav pareizi ieviest valsts nodevu fiziskajām personām par pieteikumu saistībā ar pieteikumu par parādnieka atbrīvošanas no saistībām atcelšanu fiziskās personas maksātnespējas procesa lietā. Pirmkārt, tas ir jauninājums, kam nav skaidrs pamatojums, otrkārt, nav izvērtēts, ka fiziskā persona šāda pieteikuma iesniegšanas brīdī ilgstoši ir maksājusi trešdaļu no saviem ienākumiem, kas atsevišķos gadījumos tiek maksāts no minimālās algas. Tātad, fiziskā persona pēc vienas trešadaļas nomaksas kreditoriem saņēm vidēji ap EUR 330. Un tagad, lai pabeigtu procesu, tiek pieprasīts samaksāt vēl EUR 80,00. Šāds jauninājums nekādā gadījumā nestimulēs fiziskajām personām laicīgi iesniegt pieteikumu saistībā ar pieteikumu par parādnieka atbrīvošanas no saistībām atcelšanu fiziskās personas maksātnespējas procesa lietā, kas praksē dažādu apsvērumu dēļ tiek atzīts par problēmjautājumu. Tāpat LMPAA redzējumā šāda veida jauna valsts nodeva EUR 80,00 apmērā ir pretrunā ar starptautisko ekspertu (piemēram, OECD) norādēm, ka Latvijā ir pārāk dārgs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šo likumprojektu netiek ieviesta jauna valsts nodeva fiziskajām personām par pieteikumu par parādnieka atbrīvošanas no saistībām atcelšanu fiziskās personas maksātnespējas procesa lietā. Saskaņā ar šobrīd spēkā esošo Civilprocesa likuma 34. panta pirmās daļas 19. punktu par pieteikumu par parādnieka atbrīvošanas no saistībām atcelšanu fiziskās personas maksātnespējas procesa lietā maksājama valsts nodeva 70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"Par valsts budžetu 2025. gadam un budžeta ietvaru 2025., 2026. un 2027.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ministrijai iesniegt priekšlikumu Finanšu ministrijai palielināt pamatbudžetā iemaksājamās valsts nodevas prognozi 2025.gadam un turpmākajiem gadiem par 344 920  euro, tai skaitā palielinot nodevu par darbību veikšanu tiesu iestādēs par 284 920 euro un palielinot nodevu par izpildu dokumentu iesniegšanu par 60 000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palielināt dotāciju no vispārējiem ieņēmumiem Tieslietu ministrijas budžeta apakšprogrammā 03.02.00 "Apgabaltiesas un rajonu (pilsētu) tiesas" un preču un pakalpojumu izdevumus 2025. gadam un turpmākajiem gadiem par 344 920 euro, vienlaicīgi par šo summu samazinot ieņēmumus no maksas pakalpojumiem un citiem pašu ieņēmumiem un preču un pakalpojumu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iesniegt priekšlikumu Finanšu ministrijai samazināt ieņēmumus no maksas pakalpojumiem un citiem pašu ieņēmumiem un preču un pakalpojumu izdevumus 2025.gadā un turpmākajiem gadiem par 236 140 euro Tieslietu ministrijas budžeta apakšprogrammā 03.02.00 "Apgabaltiesas un rajonu (pilsētu) tiesas".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likumprojektu “Grozījumi Civilprocesa likumā” nav plānots virzīt budžeta pavadošo likumprojektu paketē un Ministru kabineta sēdes protokollēmuma 4.punkts paredz uzdevumu Finanšu ministrijai precizēt Tieslietu ministrijas ieņēmumus un izdevumus likumprojekta “Par valsts budžetu 2025. gadam un budžeta ietvaru 2025., 2026. un 2027. gadam"” sagatavošanas procesā, lūdzam precizēt Ministru kabineta sēdes protokollēmuma projekta 4.punktu, nosakot, ka tajā paredzētās izmaiņas Tieslietu ministrijai veicamas pēc likumprojekta “Grozījumi Civilprocesa likumā” pieņemšanas, vienlaikus vārdus “Par valsts budžetu 2025. gadam un budžeta ietvaru 2025., 2026. un 2027. gadam sagatavošanas procesā” aizstājot ar vārdiem “likumprojekta par valsts budžetu kārtējam gadam un vidēja termiņa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likumprojekta pieņemšanas Saeimā Tieslietu ministrijai un Finanšu ministrijai veikt sekojošas izmaiņas likumprojekta par valsts budžetu kārtējam gadam un vidēja termiņa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Izpildīt SR spriedumu lietā Nr.2022-05-05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norāde uz FICIL ieteikumiem par nesamērīgi lielajām valsts nodevām un TM, izpildot ST spriedumu, to ir ņēmusi vērā un paplašinājusi skatījumu uz ST sprieduma izpildi, pieliekot klāt valsts nodevu jautājumu un daļēji arī tiesu uzdevumu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FICIL skata punkta vērtējot grozījumos ietverto (kas paredz izpildīt SR spriedumu lietā Nr.2022-05-05) varam atbalstīt iniciatīvu. Atbalstām, ka klāt pielikts arī jautājums par valsts nodevām un daļēji arī tiesu uzdevumiem. Maksimālai valsts nodevai vajadzētu būt līdz 10 000 - 15 000 EUR. FICIL apkopoja informāciju un jau iepriekš sniedzām komentārus (līdzīga informācija ir arī anotācijā), ka Latvijā ir otrās lielākās valsts nodevas ES. Igaunijā tās ir līdz 3500 EUR un Lietuvā līdz 15 000 EUR[1]. Grozījumos (CPL 3.pielikums) max summa ir 25 000 EUR, kas ir pārāk augsta. Sākot no prasības summas 400 000 EUR sākas pārāk straujš kāpums no 8550 EUR līdz pat 25 000 EUR, ja prasība ir par 750 000 EUR. Attiecīgi, prasība ir x2, bet nodeva x3.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 Valsts nodevām par prasībām virs 100 000 EUR jābūt mazākām ar maksimālo nodevu 10 000 – 15 000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CPL grozījumos ir centieni ietvert arī ar lietu saistīto izdevumus (piemēram, pasta izmaksas par tiesas veiktajiem sūtījumiem). Mūsdienās pārsvarā tiek veikti sūtījumi elektroniski un sanāk, ka visās nodevās ietvertu šo izdevumu daļu arī tad, ja konkrētā lietā nav attiecīgo izdevumu. FICIL ieskatā tā nav atbilstoša pieeja un sanāk, ka solidāri visi maksā par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tiek ietverta daļa par tiesas izdevumiem, tad ir jārisina arī jautājums par izdevumu juridiskai palīdzībai kompensācijas apmēru (CPL 44.panta pirmās daļas 1.punkts), kas šobrīd ir nesamērīgi zems (arī salīdzinot ar kaimiņvalstīm). Ziemeļvalstīs un Igaunijā/Lietuvā var atgūt visas saprātīgās un pamatotās juridiskās izmaksas un tas ir praktiski vismaz 60-70% no juridisko pakalpojumu izmaksām. Faktiski lietā vinnējusī puse nevar atgūt juridiskai palīdzībai iztērētos līdzekļus saprātīgā apmērā. Tas veido daļu no tiesībām uz taisnīgu tiesu un iespējām aizstāvēties un saņemt juridisko palīdzību. Paralēli veidojas augsne ēnu ekonomikas atbalstam, jo tiesāšanās ir dārga un izmaksas nav atgūstamas. Šo jautājumu FICIL ir komentējusi jau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 CPL grozījumos ietvert arī CPL 44.panta pirmās daļas 1.punktā noteikto juridiskās palīdzības izdevumu summu pārskatīšanu atbilstoši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attiecībā uz Rūpnieciskā īpašuma Apelācijas padomes lēmumiem, tostarp sekojošie: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tiek ieviests regulējums CPL attiecībā uz nesen (2023.gadā) Rūpnieciskā īpašuma un institūciju procedūru likumā ieviesto iespēju pārsūdzēt Apelācijas padomes lēmumus CPL kārtībā (līdzīgi kā blakus sūdzības iesniegšana par tiesas lēmumiem). Tam paredzēta jauna CPL 28.2 nodaļa “Rūpnieciskā īpašuma apelācijas padomes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tiek izveidota jauna atsevišķa nodaļa lietām, par kurām civiltiesisks strīds izskatīts (pēc būtības) Apelācijas padomē (iepriekš iespēja iesniegt prasību tiesā par Apelācijas padomes lēmumiem bija paredzēta 30.3 nodaļā – kopā ar vienkāršotās procedūras lietām; tagad būs jauna atsevišķa nodaļa – 30.10 nodaļa “Lietas par tiesībām, par kurām strīds izskatīts Rūpnieciskā īpašuma apelācijas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CPL grozījumi paredz izmaiņas prasījuma apjomā, sniedzot tiesā prasību par Apelācijas padomes lēmumu. Līdz šim, iesniedzot tiesā prasību par Apelācijas padomes lēmumu, prasītājs var grozīt prasības pamatu vai priekšmetu līdz lietas izskatīšanas sākumam pēc būtības tiesā (piemēram, prasību paplašinot, salīdzinājumā ar strīda priekšmetu Apelācijas padomē). Grozījumi paredz, ka vairs nedrīkstēs grozīt prasības priekšmetu un pamatu, kā arī ietvert jaunus prasījumus, kas nebija ietverti iesniegumā Apelācijas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izstrādātie grozījumi ir pozitīvs solis regulējuma attīstībā un sakārtošanā attiecībā uz iespējām apstrīdēt Rūpnieciskā īpašuma Apelācijas padomes lēmumus tiesā. Tie novērš iepriekšējo juridisko neskaidrību, kas radās no atšķirīgām iespējām pārsūdzēt Apelācijas padomes lēmumus, līdz ar to palielinās tiesiskās sistēmas caurspīdīgums un uzticamība. Turpmāk visiem lietas dalībniekiem būs vienādas tiesības pārsūdzēt Apelācijas padomes lēmumus, kas nodrošina taisnīgu attieksmi pret visiem dalībniekiem. Nošķirot rūpnieciskā īpašuma strīdu Apelācijas padomē par procesuāliem jautājumiem no civiltiesisku strīdu Apelācijas padomē apstrīdēšanas kārtību, tiek uzlabota procesuālo jautājumu izskatīšanas efektivitāte. Tāpat uzskatām, ka CPL grozījumos paredzētais ierobežojums grozīt prasības priekšmetu un pamatu tiesā lietās, kur prasība iesniegta par Apelācijas padomes lēmumu (atbilstoši Rūpnieciskā īpašuma institūciju un procedūru likuma 98.pantam), varētu uzlabot tiesisko noteiktību. Būtiski, ka neatkarīgi no Apelācijas padomes lēmuma un prasības par šo lēmumu tiesā iznākuma arvien saglabātos iespēja vērsties tiesā ar jaunu prasījumu par jautājumiem, kas izriet no rūpnieciskā īpašuma reģistrācijas un pēcreģistrācijas procedūrām.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Igaunijas Konstitucionālā tiesa atzina, ka 10500 EUR ir pārāk augsta summa un to nomainīja uz 3500E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ieteikumu valsts nodevām par prasībām virs 100 000 EUR noteikt mazāku maksimālo nodevu (10 000 – 15 000 EUR), norādām, ka valsts nodevas maksimālais apmērs šobrīd likumprojektā ir noteikts tāds, lai tas būtu ar neitrālu ietekmi uz budžetu. Līdz ar to likumprojektā noteikto maksimālo valsts nodevas apmēru nav iespējams samazināt, neradot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norādīto kritiku par to, ka nav atbilstoši iekļaut ar lietas izskatīšanu saistītos izdevumus valsts nodevas apmērā un attiecināt to uz visām lietām, tāpēc, ka mūsdienās pārsvarā tiek veikti elektroniski sūtījumi, līdz ar to sanāk, ka visās nodevās tiek ietverta šī izdevumu daļu arī tad, ja konkrētā lietā nav attiecīgo izdevumu – norādām, ka valsts nodeva palielināta par 10 euro, kas ir vidējais ar lietas izskatīšanu saistīto izdevumu apmērs vienā civillietā. Tātad vienā civillietā ar lietas izskatīšanu saistīto izdevumu summa var būt arī krietni virs 10 euro, kā arī zem 10 euro, tieši tāpēc ir izvēlēta vidējā ar lietas izskatīšanu saistīto izdevumu summas iekļaušana valsts nodevā kā taisnīgākais risinājums konkrētajā situācijā. Tāpat jānorāda, ka, lai arī strauji pieaug elektronisko sūtījumu skaits, Civilprocesa likuma 148. panta pirmā daļa noteic, ka pirmais sūtījums atbildētājam vienmēr tiek sūtīts vai nu uz oficiālo elektronisko adresi vai ierakstītā pasta sūtījumā (turklāt šobrīd fiziskām personām nav pienākums aktivizēt un saņemt sūtījumus uz oficiālo elektronisko adresi), līdz ar to nevar apgalvot, ka ar lietas izskatīšanu saistītie izdevumu praktiski neveidojās. Tāpat šāds risinājums ir izvēlēts, lai atslogotu tiesu no izdevumu rēķināšanas, kā arī neradītu valstij zaudējumus, kuri rodas, ja tiek ierosināta izpildu lietas par nelielām summām.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risināt jautājumu par likumā noteikto izdevumu advokāta palīdzības samaksai apmēra palielināšanu, norādām, ka attiecīgo jautājumu var risināt, taču pirms tam ir jāveic problēmjautājuma izpēte, kā arī jāsagatavo konkrēti priekšlikumi un tie jāapspriež ar tieslietu ministra rīkojumu izveidotajā pastāvīgajā darba grupā Civilprocesa likuma grozījumu izstrādei, līdz ar to Tieslietu ministrija nesaskata pamatu risināt attiecīgo jautājumu tieši šī likumprojekta ietvaros, ņemot vērā, ka šiem grozījumiem būtu jāstājas spēkā 2025. gada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Pieteikumam pievieno dokumentu, kas apstiprina valsts nodevas samaksu, izņemot gadījumu, kad samaksa veikta tiešsaistes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uzsvērts anotācijā, izmaiņas valsts nodevu regulējumā tiek veiktas, jo ir nepieciešama </w:t>
            </w:r>
            <w:r w:rsidR="00000000" w:rsidRPr="00000000" w:rsidDel="00000000">
              <w:rPr>
                <w:b w:val="1"/>
                <w:rtl w:val="0"/>
              </w:rPr>
              <w:t xml:space="preserve">plašāka Civilprocesa likuma noteikto valsts nodevu reforma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ja tiek veikta šī plašākā Civilprocesa likuma noteikto valsts nodevu reforma, tad arguments, ka esošais regulējums paredz nosacījumu par valsts nodevas samaksas apliecinoša dokumenta pievienošanu pieteikumam, nav pietiekams, lai, veicot šo valsts nodevu reformu, nesakārtotu arī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tam, tas, ka Tieslietu ministrija ir pieņēmusi zināšanai Finanšu ministrijas iebildumu nerada pārliecību, ka Tieslietu ministrija veiks aktīvas darbības, lai risinātu identificēto situāciju, tostarp, ka tiesa no veiktā valsts nodevas maksājuma nevar identificēt, tieši kuras civillietas ietvaros maksājums ir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ka tiesu jomā ir problēmas ar  maksājuma sasaisti ar sniegto pakalpojumu, tika uzsvērts jau 2018.gadā, kad tika virzīts Ministru kabineta noteikumu projekts “Valsts nodevu uzskaites noteikumi”, un, kā secinām – šo sešu gadu laikā joprojām nav pilnībā rasts efektīvs risinājums identificētai problēmsituācijai.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grozījumiem ir jābūt pārdomātiem, nesasteigtiem un izdiskutētiem, neuzturam iepriekš sniegto iebildumu un lūdzam atbilstoši izziņā norādītajam veikt nepieciešamās diskusijas ārpus šī likumprojekta, lai rastu identificētajai situācijai piemērotāko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diskusijas ārpus šī likumprojekta, lai rastu identificētajai situācijai piemērotāko risinājumu tiks veiktas.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Pieteikumam pievieno dokumentu, kas apstiprina valsts nodevas samaksu, izņemot gadījumu, kad samaksa veikta tiešsaistes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458. panta pirmajā daļā vārdus un skaitli "pirmās daļas 2. punktā" ar skaitli un vārdu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esošajā redakcijā ir pieminēts panta daļas punkts, tad arī grozījumos varētu minēt konkrēto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458. panta pirmajā daļā vārdus un skaitli "pirmās daļas 2. punktā" ar skaitli un vārdu "1.</w:t>
            </w:r>
            <w:r w:rsidR="00000000" w:rsidRPr="00000000" w:rsidDel="00000000">
              <w:rPr>
                <w:vertAlign w:val="superscript"/>
                <w:rtl w:val="0"/>
              </w:rPr>
              <w:t xml:space="preserve">1</w:t>
            </w:r>
            <w:r w:rsidR="00000000" w:rsidRPr="00000000" w:rsidDel="00000000">
              <w:rPr>
                <w:rtl w:val="0"/>
              </w:rPr>
              <w:t xml:space="preserve"> daļas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458. panta pirmajā daļā vārdus un skaitli "pirmās daļas 2. punktā" ar skaitļiem un vārdiem "1.</w:t>
            </w:r>
            <w:r w:rsidR="00000000" w:rsidRPr="00000000" w:rsidDel="00000000">
              <w:rPr>
                <w:vertAlign w:val="superscript"/>
                <w:rtl w:val="0"/>
              </w:rPr>
              <w:t xml:space="preserve">1</w:t>
            </w:r>
            <w:r w:rsidR="00000000" w:rsidRPr="00000000" w:rsidDel="00000000">
              <w:rPr>
                <w:rtl w:val="0"/>
              </w:rPr>
              <w:t xml:space="preserve">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478. panta septītajā daļā vārdus un skaitli "pirmās daļas 4. punktā" ar skaitli un vārdu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esošajā redakcijā ir minēts konkrēta panta daļas punkts, tad arī grozījumos būtu skaidrāk, ja tiktu minēts konkrētais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478. panta septītajā daļā vārdus un skaitli "pirmās daļas 4. punktā" ar skaitli un vārdu "1.</w:t>
            </w:r>
            <w:r w:rsidR="00000000" w:rsidRPr="00000000" w:rsidDel="00000000">
              <w:rPr>
                <w:vertAlign w:val="superscript"/>
                <w:rtl w:val="0"/>
              </w:rPr>
              <w:t xml:space="preserve">1</w:t>
            </w:r>
            <w:r w:rsidR="00000000" w:rsidRPr="00000000" w:rsidDel="00000000">
              <w:rPr>
                <w:rtl w:val="0"/>
              </w:rPr>
              <w:t xml:space="preserve"> daļas 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478. panta septītajā daļā vārdus un skaitli "pirmās daļas 4. punktā" ar skaitļiem un vārdiem "1.</w:t>
            </w:r>
            <w:r w:rsidR="00000000" w:rsidRPr="00000000" w:rsidDel="00000000">
              <w:rPr>
                <w:vertAlign w:val="superscript"/>
                <w:rtl w:val="0"/>
              </w:rPr>
              <w:t xml:space="preserve">1</w:t>
            </w:r>
            <w:r w:rsidR="00000000" w:rsidRPr="00000000" w:rsidDel="00000000">
              <w:rPr>
                <w:rtl w:val="0"/>
              </w:rPr>
              <w:t xml:space="preserve"> daļas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ieskatā, anotācijas 1.1. apakšsadaļas nodaļas “Apraksts” 5. punkta 1. teikumā būtu nepieciešams aizstāt vārdu “darbību” ar vārdiem “prasību izpildi” vismaz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vārds “darbību” šķiet nepietiekami precīzi atspoguļo grozījumu šajā daļā mērķi, jo šie grozījumi pēc būtības nevar ietekmēt Regulas 2022/1925 (DMA) darbību. No regulu juridiskās dabas izriet, ka tā ir piemērojama visās dalībvalstīs un to darbību nevar ietekmēt vai ierobežot nacionālie 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attiecīgie grozījumi Konkurences likumā tika izstrādāti, lai nodrošinātu DMA prasību izpildi, šāda pati norāde būtu lietojama arī šajā Civilprocesa likuma grozījumu anotācijā. Minētais ir piemēroti, jo, kā izriet no šīs anotācijas 1.1. apakšsadaļas nodaļas “Apraksts” 5. punkta 1. teikuma, šis teikums faktiski ir atsauce uz attiecīgajiem grozījumiem Konkurences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likumprojektā iekļauti Ekonomikas ministrijas sagatavotie grozījumi, kas izstrādāti saistībā ar grozījumiem Konkurences likumā, lai nodrošinātu Eiropas Parlamenta un Padomes 2022. gada 14. septembra Regulas (ES) 2022/1925 par sāncensīgiem un godīgiem tirgiem digitālajā nozarē un ar ko groza Direktīvas (ES) 2019/1937 un (ES) 2020/1828 (Digitālo tirgu akts) (turpmāk - Digitālo tirgu akts) </w:t>
            </w:r>
            <w:r w:rsidR="00000000" w:rsidRPr="00000000" w:rsidDel="00000000">
              <w:rPr>
                <w:u w:val="single"/>
                <w:rtl w:val="0"/>
              </w:rPr>
              <w:t xml:space="preserve">prasību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lietderības un efektivitātes apsvērumiem par valsts nodevu izmaiņām, t.sk. ekonomisko aprēķinu to apmēra noteikšanai, it sevišķi attiecībā uz minimālās nodevas apmēru (ņemot vērā to, ka tagad valsts nodevā, kuras mērķis ir atšķirīgs no tiesas izdevumu segšanas mērķa, ir ietverta daļa no tiesas izdevumiem) un arī maksimālo valsts nodevu.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nodevām neveic uz izdevumiem balstītus aprēķinus. Saskaņā ar likuma "Par nodokļiem un nodevām" 1. panta 2. punktu valsts nodevas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lietas izskatīšanu saistīto izdevumu iekļaušanas valsts nodevā mērķis ir atslogot tiesu darbu, lai tiesai katrā lietā nebūtu jārēķina tiesas izdevumi, kā arī atslogot zvērinātu tiesu izpildītāju darbu, lai tiem turpmāk nebūtu jāierosina izpildu lietas par nelielām summām, kuras nereti pat nav iespējams piedzīt, tādējādi radot zaudējumus valstij. Turklāt arī privātpersonām tiks mazināts administratīvais slogs – proti, zaudējušai pusei nebūs jāveic divi atsevišķi maksājumi (uzvarējušai pusei un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12.lpp. sadaļas </w:t>
            </w:r>
            <w:r w:rsidR="00000000" w:rsidRPr="00000000" w:rsidDel="00000000">
              <w:rPr>
                <w:i w:val="1"/>
                <w:rtl w:val="0"/>
              </w:rPr>
              <w:t xml:space="preserve">Problēmas apraksts </w:t>
            </w:r>
            <w:r w:rsidR="00000000" w:rsidRPr="00000000" w:rsidDel="00000000">
              <w:rPr>
                <w:rtl w:val="0"/>
              </w:rPr>
              <w:t xml:space="preserve">tekstu daļu "[..] CPL 43. panta pirmajā noteikt, ka [..]",  starp vārdiem "panta" un "pirmajā" to papildinot ar vārdu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CPL 43. panta pirmajā daļā noteikt, 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ieskatā, anotācijas 1.3. apakšsadaļas nodaļas “Problēmas un risinājumi” apakšnodaļas “Risinājuma apraksts” (par grozījumiem saistībā ar Regulu 2022/1925 jeb DMA) 7. un 11. paragrāfā būtu nepieciešams aizstāt vārdus “Digitālo tirgu akta pilnīgu efektivitāti” ar vārdiem “Digitālo tirgu akta pilnu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nepieciešams, jo šāda izteiksmes forma precīzāk atspoguļo šīs apakšsadaļas 4. paragrāfa atsaucē norādītajos Eiropas Savienības Tiesas spriedumos lietoto izteiksmes formu. Tāpat šāda izteiksmes forma “Digitālo tirgu akta pilnu efektivitāti” jau tiek lietota šīs apakšsadaļas 4. paragrāfā.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250.</w:t>
            </w:r>
            <w:r w:rsidR="00000000" w:rsidRPr="00000000" w:rsidDel="00000000">
              <w:rPr>
                <w:vertAlign w:val="superscript"/>
                <w:rtl w:val="0"/>
              </w:rPr>
              <w:t xml:space="preserve">66</w:t>
            </w:r>
            <w:r w:rsidR="00000000" w:rsidRPr="00000000" w:rsidDel="00000000">
              <w:rPr>
                <w:rtl w:val="0"/>
              </w:rPr>
              <w:t xml:space="preserve"> pantā paredzēti, jo līdzīgi kā zaudējumu atlīdzināšanas prasības par konkurences tiesību pārkāpumiem, arī zaudējumu atlīdzināšanas prasībās par Digitālo tirgu akta pārkāpumiem raksturo informācijas asimetrija, kur pierādījumi zaudējumu aprēķināšanai primāri var būt tieši pārkāpēja vai trešo personu rīcībā. Kā tas atzīts Eiropas Savienības Tiesas spriedumā C-312/21, </w:t>
            </w:r>
            <w:r w:rsidR="00000000" w:rsidRPr="00000000" w:rsidDel="00000000">
              <w:rPr>
                <w:i w:val="1"/>
                <w:rtl w:val="0"/>
              </w:rPr>
              <w:t xml:space="preserve">Tráficos Manuel Ferrer</w:t>
            </w:r>
            <w:r w:rsidR="00000000" w:rsidRPr="00000000" w:rsidDel="00000000">
              <w:rPr>
                <w:rtl w:val="0"/>
              </w:rPr>
              <w:t xml:space="preserve">, 44. punktā, viens no primārajiem rīkiem, ar kura palīdzību ir iespējams labot šādu informācijas asimetriju, ir tiesību noteikšana prasītājiem lūgt nacionālajām tiesām, pastāvot zināmiem nosacījumiem, izprasīt atbildētāja vai trešās personas rīcībā esošos pierādījumus, kuriem ir nozīme lietā. Tādējādi CPL 250.</w:t>
            </w:r>
            <w:r w:rsidR="00000000" w:rsidRPr="00000000" w:rsidDel="00000000">
              <w:rPr>
                <w:vertAlign w:val="superscript"/>
                <w:rtl w:val="0"/>
              </w:rPr>
              <w:t xml:space="preserve">66</w:t>
            </w:r>
            <w:r w:rsidR="00000000" w:rsidRPr="00000000" w:rsidDel="00000000">
              <w:rPr>
                <w:rtl w:val="0"/>
              </w:rPr>
              <w:t xml:space="preserve"> panta pirmo daļu būtu lietderīgi attiecināt arī uz zaudējumu atlīdzināšanas prasībām, kas izriet no Digitālo tirgu akta pārkāpumiem, līdz ar to arī stiprinot </w:t>
            </w:r>
            <w:r w:rsidR="00000000" w:rsidRPr="00000000" w:rsidDel="00000000">
              <w:rPr>
                <w:u w:val="single"/>
                <w:rtl w:val="0"/>
              </w:rPr>
              <w:t xml:space="preserve">Digitālo tirgu akta pilnu efektivitāti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CPL 250.</w:t>
            </w:r>
            <w:r w:rsidR="00000000" w:rsidRPr="00000000" w:rsidDel="00000000">
              <w:rPr>
                <w:vertAlign w:val="superscript"/>
                <w:rtl w:val="0"/>
              </w:rPr>
              <w:t xml:space="preserve">69</w:t>
            </w:r>
            <w:r w:rsidR="00000000" w:rsidRPr="00000000" w:rsidDel="00000000">
              <w:rPr>
                <w:rtl w:val="0"/>
              </w:rPr>
              <w:t xml:space="preserve"> panta pirmo daļu ir nepieciešams attiecināt uz Digitālo tirgu akta pārkāpumiem vismaz divu iemeslu dēļ. Pirmkārt, ņemot vērā Digitālo tirgu akta 39. panta 5. punktu noteikumus, nacionālo tiesu nolēmumi nedrīkst nonākt pretrunā ar EK lēmumiem. Tādējādi, ja EK lēmums ir kļuvis nepārsūdzams attiecībā uz konkrētu Digitālo tirgu akta pārkāpumu, tad nacionālās tiesas arī izskatot prasību par zaudējumu atlīdzināšanu, principā nedrīkstētu nonākt pie pretējiem secinājumiem. Līdz ar to šāds papildinājums stiprinātu Digitālo tirgu akta vienotu interpretāciju, kā arī palielinātu tiesisko noteiktību. Otrkārt, šāda norma pēc būtības padara zaudējumu atlīdzināšanas prasību pierādīšanu ievērojami vienkāršāku (atvieglotāku), tādējādi arī stiprinot </w:t>
            </w:r>
            <w:r w:rsidR="00000000" w:rsidRPr="00000000" w:rsidDel="00000000">
              <w:rPr>
                <w:u w:val="single"/>
                <w:rtl w:val="0"/>
              </w:rPr>
              <w:t xml:space="preserve">Digitālo tirgu akta pilnu efektivitāti</w:t>
            </w:r>
            <w:r w:rsidR="00000000" w:rsidRPr="00000000" w:rsidDel="00000000">
              <w:rPr>
                <w:rtl w:val="0"/>
              </w:rPr>
              <w:t xml:space="preserve">. Tāpat pantā ir uzsverams, ka EK lēmumi, kas kļuvuši nepārsūdzami, no jauna izskatot prasību par zaudējumu atlīdzināšanu pēc Digitālo tirgu akta pārkāpuma nav jāpierāda, ņemot vērā, ka lēmumus par Digitālo tirgu akta pārkāpumiem pieņems tikai un vienīgi EK kā vienīgais izpildes nodrošinātājs (</w:t>
            </w:r>
            <w:r w:rsidR="00000000" w:rsidRPr="00000000" w:rsidDel="00000000">
              <w:rPr>
                <w:i w:val="1"/>
                <w:rtl w:val="0"/>
              </w:rPr>
              <w:t xml:space="preserve">sole enforcer</w:t>
            </w:r>
            <w:r w:rsidR="00000000" w:rsidRPr="00000000" w:rsidDel="00000000">
              <w:rPr>
                <w:rtl w:val="0"/>
              </w:rPr>
              <w:t xml:space="preserve">). Šādā redakcijā minētā norma faktiski arī pamatoti konkretizē, ka konkurences tiesību pārkāpums, kas konstatēts ar EK lēmumu, kas kļuvis nepārsūdzams, nav tiesvedībā par zaudējumu atlīdzināšanu atkārtoti jāpierāda, kas saskan ar Direktīvas Nr 2014/104/ES mērķiem (</w:t>
            </w:r>
            <w:r w:rsidR="00000000" w:rsidRPr="00000000" w:rsidDel="00000000">
              <w:rPr>
                <w:i w:val="1"/>
                <w:rtl w:val="0"/>
              </w:rPr>
              <w:t xml:space="preserve">sk. preambulas 34. apsvērumu</w:t>
            </w:r>
            <w:r w:rsidR="00000000" w:rsidRPr="00000000" w:rsidDel="00000000">
              <w:rPr>
                <w:rtl w:val="0"/>
              </w:rPr>
              <w:t xml:space="preserve">) un Padomes 2002. gada 16. decembra Regulas (EK) Nr. 1/2003 par to konkurences noteikumu īstenošanu, kas noteikti Līguma 81. un 82. pantā, noteikumiem (</w:t>
            </w:r>
            <w:r w:rsidR="00000000" w:rsidRPr="00000000" w:rsidDel="00000000">
              <w:rPr>
                <w:i w:val="1"/>
                <w:rtl w:val="0"/>
              </w:rPr>
              <w:t xml:space="preserve">sk. 16. panta 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4. punktu ar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grozot valsts nodevu summas, personai iesniedzot prasības pieteikumu tiesā, tiek veicināta personu piekļuve tiesai, līdz ar to turpmāk pieļaujot personu aktīvāku vēršanos tiesā ar prasību pieteikumiem tiesā, attiecīgi, iespējams, palielinoties tiesā iesniedzamo prasību pieteikumu skaitam, kas vienlaikus var radīt pozitīvu ietekmi uz valsts budžeta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saiti uz publisko apspriešanu, kas notika TAP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tiesību akta projekta anotācijā ir norādītas visas izpildē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piemēram, ar tiesību akta projektu tiek paredzēts nodrošināt, ka par visiem rūpnieciskā īpašuma strīdiem varēs vērsties vienā specializētā tiesā - Rīgas pilsētas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 anotācija precizēta. Pie izpildē iesaistītajām institūcijām norādīta - Rīgas pilsētas tiesa un Rīgas apgabaltiesa.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"Par valsts budžetu 2025. gadam un budžeta ietvaru 2025., 2026. un 2027.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ministrijai iesniegt priekšlikumu Finanšu ministrijai palielināt pamatbudžetā iemaksājamās valsts nodevas prognozi 2025.gadam un turpmākajiem gadiem par 344 920  euro, tai skaitā palielinot nodevu par darbību veikšanu tiesu iestādēs par 284 920 euro un palielinot nodevu par izpildu dokumentu iesniegšanu par 60 000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palielināt dotāciju no vispārējiem ieņēmumiem Tieslietu ministrijas budžeta apakšprogrammā 03.02.00 "Apgabaltiesas un rajonu (pilsētu) tiesas" un preču un pakalpojumu izdevumus 2025. gadam un turpmākajiem gadiem par 344 920 euro, vienlaicīgi par šo summu samazinot ieņēmumus no maksas pakalpojumiem un citiem pašu ieņēmumiem un preču un pakalpojumu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iesniegt priekšlikumu Finanšu ministrijai samazināt ieņēmumus no maksas pakalpojumiem un citiem pašu ieņēmumiem un preču un pakalpojumu izdevumus 2025.gadā un turpmākajiem gadiem par 236 140 euro Tieslietu ministrijas budžeta apakšprogrammā 03.02.00 "Apgabaltiesas un rajonu (pilsētu) tiesas".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4.punkta apakšpunktu numerāciju, norādot tos kā 4.punkta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likumprojekta pieņemšanas Saeimā Tieslietu ministrijai un Finanšu ministrijai veikt sekojošas izmaiņas likumprojekta par valsts budžetu kārtējam gadam un vidēja termiņa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23-TA-2613</w:t>
    </w:r>
    <w:r>
      <w:br/>
    </w:r>
    <w:r w:rsidR="00000000" w:rsidRPr="00000000" w:rsidDel="00000000">
      <w:rPr>
        <w:rtl w:val="0"/>
      </w:rPr>
      <w:t xml:space="preserve">18.10.2024. 08.42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23-TA-2613</w:t>
    </w:r>
    <w:r>
      <w:br/>
    </w:r>
    <w:r w:rsidR="00000000" w:rsidRPr="00000000" w:rsidDel="00000000">
      <w:rPr>
        <w:rtl w:val="0"/>
      </w:rPr>
      <w:t xml:space="preserve">18.10.2024. 08.42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Izziņa_23-TA-2613.docx</dc:title>
</cp:coreProperties>
</file>

<file path=docProps/custom.xml><?xml version="1.0" encoding="utf-8"?>
<Properties xmlns="http://schemas.openxmlformats.org/officeDocument/2006/custom-properties" xmlns:vt="http://schemas.openxmlformats.org/officeDocument/2006/docPropsVTypes"/>
</file>