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738A9" w14:textId="77777777" w:rsidR="00641F9F" w:rsidRDefault="00641F9F" w:rsidP="00641F9F">
      <w:pPr>
        <w:rPr>
          <w:lang w:eastAsia="en-US"/>
        </w:rPr>
      </w:pPr>
      <w:r>
        <w:rPr>
          <w:lang w:eastAsia="en-US"/>
        </w:rPr>
        <w:t>28.09.2021.  Nr. 10.1-6/7-1/1181</w:t>
      </w:r>
    </w:p>
    <w:p w14:paraId="50858130" w14:textId="77777777" w:rsidR="00641F9F" w:rsidRDefault="00641F9F" w:rsidP="00641F9F">
      <w:pPr>
        <w:rPr>
          <w:lang w:eastAsia="en-US"/>
        </w:rPr>
      </w:pPr>
    </w:p>
    <w:p w14:paraId="2CB9E774" w14:textId="77777777" w:rsidR="00641F9F" w:rsidRDefault="00641F9F" w:rsidP="00641F9F">
      <w:pPr>
        <w:rPr>
          <w:lang w:eastAsia="en-US"/>
        </w:rPr>
      </w:pPr>
      <w:r>
        <w:rPr>
          <w:lang w:eastAsia="en-US"/>
        </w:rPr>
        <w:t>Labdien!</w:t>
      </w:r>
    </w:p>
    <w:p w14:paraId="72F11EE2" w14:textId="77777777" w:rsidR="00641F9F" w:rsidRDefault="00641F9F" w:rsidP="00641F9F">
      <w:pPr>
        <w:rPr>
          <w:lang w:eastAsia="en-US"/>
        </w:rPr>
      </w:pPr>
    </w:p>
    <w:p w14:paraId="273ACAD3" w14:textId="77777777" w:rsidR="00641F9F" w:rsidRDefault="00641F9F" w:rsidP="00641F9F">
      <w:pPr>
        <w:ind w:firstLine="567"/>
        <w:jc w:val="both"/>
      </w:pPr>
      <w:r>
        <w:rPr>
          <w:lang w:eastAsia="en-US"/>
        </w:rPr>
        <w:t xml:space="preserve">Finanšu ministrija atbilstoši kompetencei ir izskatījusi precizēto Ministru kabineta noteikumu projektu “Noteikumi par Oficiālās statistikas programmu 2022.-2024.gadam” (turpmāk – noteikumu projekts), pielikumu,  sākotnējās ietekmes novērtējuma ziņojumu (anotāciju), izziņu par atzinumos sniegtajiem iebildumiem un </w:t>
      </w:r>
      <w:r>
        <w:rPr>
          <w:color w:val="000000"/>
        </w:rPr>
        <w:t xml:space="preserve">vērš uzmanību uz to, ka attiecībā uz </w:t>
      </w:r>
      <w:proofErr w:type="spellStart"/>
      <w:r>
        <w:rPr>
          <w:color w:val="000000"/>
        </w:rPr>
        <w:t>mikrouzņēmumu</w:t>
      </w:r>
      <w:proofErr w:type="spellEnd"/>
      <w:r>
        <w:rPr>
          <w:color w:val="000000"/>
        </w:rPr>
        <w:t xml:space="preserve"> nodokļa maksātājiem nav ņemti vērā Finanšu ministrijas</w:t>
      </w:r>
      <w:r>
        <w:t xml:space="preserve"> izteiktie iebildumi, kas tika sniegti, ņemot vērā 2020.gada 26.novembrī veiktos grozījumus </w:t>
      </w:r>
      <w:proofErr w:type="spellStart"/>
      <w:r>
        <w:t>Mikrouzņēmumu</w:t>
      </w:r>
      <w:proofErr w:type="spellEnd"/>
      <w:r>
        <w:t xml:space="preserve"> nodokļa likumā,  kas stājas spēkā 2021.gada 1.janvārī.</w:t>
      </w:r>
    </w:p>
    <w:p w14:paraId="1583CAE9" w14:textId="77777777" w:rsidR="00641F9F" w:rsidRDefault="00641F9F" w:rsidP="00641F9F">
      <w:pPr>
        <w:jc w:val="both"/>
        <w:rPr>
          <w:color w:val="000000"/>
        </w:rPr>
      </w:pPr>
      <w:r>
        <w:rPr>
          <w:color w:val="000000"/>
        </w:rPr>
        <w:t xml:space="preserve">          Noteikumu projekta pielikumā ietvertās 3.tabulas 3.kolonnā “Personas datu veidi” ir norādīts datu apjoms no </w:t>
      </w:r>
      <w:proofErr w:type="spellStart"/>
      <w:r>
        <w:rPr>
          <w:color w:val="000000"/>
        </w:rPr>
        <w:t>mikrouzņēmumu</w:t>
      </w:r>
      <w:proofErr w:type="spellEnd"/>
      <w:r>
        <w:rPr>
          <w:color w:val="000000"/>
        </w:rPr>
        <w:t xml:space="preserve"> nodokļa deklarācijas. Minētā pielikuma 3.tabulas 67. un 68.rindā ir norādīts šāds datu apjoms no </w:t>
      </w:r>
      <w:proofErr w:type="spellStart"/>
      <w:r>
        <w:rPr>
          <w:color w:val="000000"/>
        </w:rPr>
        <w:t>mikoruzņēmumu</w:t>
      </w:r>
      <w:proofErr w:type="spellEnd"/>
      <w:r>
        <w:rPr>
          <w:color w:val="000000"/>
        </w:rPr>
        <w:t xml:space="preserve"> nodokļa deklarācijas – reģistrācijas kods, juridiskā forma, darbinieka ienākumi, darbinieka personas kods, bet 78.rindā – reģistrācijas kods, juridiskā forma, apgrozījums ceturksnī, kas no gada sākuma nepārsniedz 70 000 LVL (sākot ar 2014. gadu – 100 000 EUR), apgrozījuma pārsnieguma daļa ceturksnī; aprēķinātais </w:t>
      </w:r>
      <w:proofErr w:type="spellStart"/>
      <w:r>
        <w:rPr>
          <w:color w:val="000000"/>
        </w:rPr>
        <w:t>mikrouzņēmuma</w:t>
      </w:r>
      <w:proofErr w:type="spellEnd"/>
      <w:r>
        <w:rPr>
          <w:color w:val="000000"/>
        </w:rPr>
        <w:t xml:space="preserve"> nodoklis, ja netiek pārkāpti likumā noteiktie kritēriji, aprēķinātais </w:t>
      </w:r>
      <w:proofErr w:type="spellStart"/>
      <w:r>
        <w:rPr>
          <w:color w:val="000000"/>
        </w:rPr>
        <w:t>mikrouzņēmuma</w:t>
      </w:r>
      <w:proofErr w:type="spellEnd"/>
      <w:r>
        <w:rPr>
          <w:color w:val="000000"/>
        </w:rPr>
        <w:t xml:space="preserve"> nodoklis, no apgrozījuma pārsnieguma daļas, aprēķinātais </w:t>
      </w:r>
      <w:proofErr w:type="spellStart"/>
      <w:r>
        <w:rPr>
          <w:color w:val="000000"/>
        </w:rPr>
        <w:t>mikrouzņēmuma</w:t>
      </w:r>
      <w:proofErr w:type="spellEnd"/>
      <w:r>
        <w:rPr>
          <w:color w:val="000000"/>
        </w:rPr>
        <w:t xml:space="preserve"> nodoklis par darbinieku ienākuma pārsnieguma daļu, aprēķinātais </w:t>
      </w:r>
      <w:proofErr w:type="spellStart"/>
      <w:r>
        <w:rPr>
          <w:color w:val="000000"/>
        </w:rPr>
        <w:t>mikrouzņēmuma</w:t>
      </w:r>
      <w:proofErr w:type="spellEnd"/>
      <w:r>
        <w:rPr>
          <w:color w:val="000000"/>
        </w:rPr>
        <w:t xml:space="preserve"> nodoklis par darbinieku skaita pārsnieguma daļu, kopā aprēķinātais </w:t>
      </w:r>
      <w:proofErr w:type="spellStart"/>
      <w:r>
        <w:rPr>
          <w:color w:val="000000"/>
        </w:rPr>
        <w:t>mikrouzņēmuma</w:t>
      </w:r>
      <w:proofErr w:type="spellEnd"/>
      <w:r>
        <w:rPr>
          <w:color w:val="000000"/>
        </w:rPr>
        <w:t xml:space="preserve"> nodoklis, darbinieka personas kods vai reģistrācijas kods, darbinieka ienākumi atskaites ceturksnī pa mēnešiem.</w:t>
      </w:r>
    </w:p>
    <w:p w14:paraId="7C0C0057" w14:textId="77777777" w:rsidR="00641F9F" w:rsidRDefault="00641F9F" w:rsidP="00641F9F">
      <w:pPr>
        <w:jc w:val="both"/>
        <w:rPr>
          <w:color w:val="000000"/>
        </w:rPr>
      </w:pPr>
      <w:r>
        <w:rPr>
          <w:color w:val="000000"/>
        </w:rPr>
        <w:t xml:space="preserve">            Atkārtoti vēršam uzmanību, ka </w:t>
      </w:r>
      <w:r>
        <w:rPr>
          <w:color w:val="000000"/>
          <w:u w:val="single"/>
        </w:rPr>
        <w:t xml:space="preserve">no 2021.gada 1.janvāra </w:t>
      </w:r>
      <w:proofErr w:type="spellStart"/>
      <w:r>
        <w:rPr>
          <w:color w:val="000000"/>
          <w:u w:val="single"/>
        </w:rPr>
        <w:t>mikrouzņēmumu</w:t>
      </w:r>
      <w:proofErr w:type="spellEnd"/>
      <w:r>
        <w:rPr>
          <w:color w:val="000000"/>
          <w:u w:val="single"/>
        </w:rPr>
        <w:t xml:space="preserve"> nodokli var attiecināt tikai uz </w:t>
      </w:r>
      <w:proofErr w:type="spellStart"/>
      <w:r>
        <w:rPr>
          <w:color w:val="000000"/>
          <w:u w:val="single"/>
        </w:rPr>
        <w:t>mikrouzņēmuma</w:t>
      </w:r>
      <w:proofErr w:type="spellEnd"/>
      <w:r>
        <w:rPr>
          <w:color w:val="000000"/>
          <w:u w:val="single"/>
        </w:rPr>
        <w:t xml:space="preserve"> īpašnieku</w:t>
      </w:r>
      <w:r>
        <w:rPr>
          <w:color w:val="000000"/>
        </w:rPr>
        <w:t xml:space="preserve">. Savukārt, ja </w:t>
      </w:r>
      <w:proofErr w:type="spellStart"/>
      <w:r>
        <w:rPr>
          <w:color w:val="000000"/>
        </w:rPr>
        <w:t>mikrouzņēmumam</w:t>
      </w:r>
      <w:proofErr w:type="spellEnd"/>
      <w:r>
        <w:rPr>
          <w:color w:val="000000"/>
        </w:rPr>
        <w:t xml:space="preserve"> ir darbinieks, </w:t>
      </w:r>
      <w:r>
        <w:rPr>
          <w:color w:val="000000"/>
          <w:u w:val="single"/>
        </w:rPr>
        <w:t xml:space="preserve">darbinieka ienākumus no </w:t>
      </w:r>
      <w:proofErr w:type="spellStart"/>
      <w:r>
        <w:rPr>
          <w:color w:val="000000"/>
          <w:u w:val="single"/>
        </w:rPr>
        <w:t>mikrouzņēmuma</w:t>
      </w:r>
      <w:proofErr w:type="spellEnd"/>
      <w:r>
        <w:rPr>
          <w:color w:val="000000"/>
          <w:u w:val="single"/>
        </w:rPr>
        <w:t xml:space="preserve"> apliek ar iedzīvotāju ienākuma nodokli (algas nodokli) saskaņā ar likumu “Par iedzīvotāju ienākuma nodokli” un darbinieku apdrošina kā darba ņēmēju saskaņā ar likumu “Par valsts sociālo apdrošināšanu</w:t>
      </w:r>
      <w:r>
        <w:rPr>
          <w:color w:val="000000"/>
        </w:rPr>
        <w:t>”.</w:t>
      </w:r>
      <w:r>
        <w:rPr>
          <w:color w:val="000000"/>
          <w:vertAlign w:val="superscript"/>
        </w:rPr>
        <w:footnoteReference w:customMarkFollows="1" w:id="1"/>
        <w:t>[1]</w:t>
      </w:r>
    </w:p>
    <w:p w14:paraId="7376168B" w14:textId="77777777" w:rsidR="00641F9F" w:rsidRDefault="00641F9F" w:rsidP="00641F9F">
      <w:pPr>
        <w:ind w:firstLine="720"/>
        <w:jc w:val="both"/>
        <w:rPr>
          <w:color w:val="000000"/>
        </w:rPr>
      </w:pPr>
      <w:proofErr w:type="spellStart"/>
      <w:r>
        <w:rPr>
          <w:color w:val="000000"/>
        </w:rPr>
        <w:t>Mikrouzņēmumu</w:t>
      </w:r>
      <w:proofErr w:type="spellEnd"/>
      <w:r>
        <w:rPr>
          <w:color w:val="000000"/>
        </w:rPr>
        <w:t xml:space="preserve"> nodokļa maksātāja darbiniekiem, kas bija pieņemti darbā līdz 2020.gada 31.decembrim, tika noteikts pārejas periods līdz 2021.gada 30.jūnijam, kura laikā piemēroja līdz 2020.gada 31.decembrim spēkā esošo </w:t>
      </w:r>
      <w:proofErr w:type="spellStart"/>
      <w:r>
        <w:rPr>
          <w:color w:val="000000"/>
        </w:rPr>
        <w:t>Mikrouzņēmumu</w:t>
      </w:r>
      <w:proofErr w:type="spellEnd"/>
      <w:r>
        <w:rPr>
          <w:color w:val="000000"/>
        </w:rPr>
        <w:t xml:space="preserve"> nodokļa likuma regulējumu, bet no 2021.gada 1.jūlija par visiem </w:t>
      </w:r>
      <w:proofErr w:type="spellStart"/>
      <w:r>
        <w:rPr>
          <w:color w:val="000000"/>
        </w:rPr>
        <w:t>mikrouzņēmuma</w:t>
      </w:r>
      <w:proofErr w:type="spellEnd"/>
      <w:r>
        <w:rPr>
          <w:color w:val="000000"/>
        </w:rPr>
        <w:t xml:space="preserve"> darbiniekiem (izņemot vienīgo īpašnieku) ir jāmaksā darbaspēka nodokļi vispārējā kārtībā saskaņā ar likumu “Par iedzīvotāju ienākuma nodokli” un likumu “Par valsts sociālo apdrošināšanu”.</w:t>
      </w:r>
      <w:r>
        <w:rPr>
          <w:color w:val="000000"/>
          <w:vertAlign w:val="superscript"/>
        </w:rPr>
        <w:footnoteReference w:customMarkFollows="1" w:id="2"/>
        <w:t>[2]</w:t>
      </w:r>
      <w:r>
        <w:rPr>
          <w:color w:val="000000"/>
        </w:rPr>
        <w:t xml:space="preserve"> </w:t>
      </w:r>
    </w:p>
    <w:p w14:paraId="144BC5F7" w14:textId="77777777" w:rsidR="00641F9F" w:rsidRDefault="00641F9F" w:rsidP="00641F9F">
      <w:pPr>
        <w:ind w:firstLine="720"/>
        <w:jc w:val="both"/>
        <w:rPr>
          <w:color w:val="000000"/>
        </w:rPr>
      </w:pPr>
      <w:r>
        <w:rPr>
          <w:color w:val="000000"/>
        </w:rPr>
        <w:t xml:space="preserve">Vēršam uzmanību, ka </w:t>
      </w:r>
      <w:proofErr w:type="spellStart"/>
      <w:r>
        <w:rPr>
          <w:color w:val="000000"/>
          <w:u w:val="single"/>
        </w:rPr>
        <w:t>Mikrouzņēmumu</w:t>
      </w:r>
      <w:proofErr w:type="spellEnd"/>
      <w:r>
        <w:rPr>
          <w:color w:val="000000"/>
          <w:u w:val="single"/>
        </w:rPr>
        <w:t xml:space="preserve"> nodokļa likumā vairs netiek noteikts </w:t>
      </w:r>
      <w:proofErr w:type="spellStart"/>
      <w:r>
        <w:rPr>
          <w:color w:val="000000"/>
          <w:u w:val="single"/>
        </w:rPr>
        <w:t>mikrouzņēmuma</w:t>
      </w:r>
      <w:proofErr w:type="spellEnd"/>
      <w:r>
        <w:rPr>
          <w:color w:val="000000"/>
          <w:u w:val="single"/>
        </w:rPr>
        <w:t xml:space="preserve"> kalendārā gada apgrozījuma ierobežojums</w:t>
      </w:r>
      <w:r>
        <w:rPr>
          <w:color w:val="000000"/>
        </w:rPr>
        <w:t xml:space="preserve">, bet ir noteikts, ka </w:t>
      </w:r>
      <w:proofErr w:type="spellStart"/>
      <w:r>
        <w:rPr>
          <w:color w:val="000000"/>
        </w:rPr>
        <w:t>mikrouzņēmums</w:t>
      </w:r>
      <w:proofErr w:type="spellEnd"/>
      <w:r>
        <w:rPr>
          <w:color w:val="000000"/>
        </w:rPr>
        <w:t xml:space="preserve"> nevar būt reģistrēts pievienotās vērtības nodokļa maksātājs. Ja </w:t>
      </w:r>
      <w:proofErr w:type="spellStart"/>
      <w:r>
        <w:rPr>
          <w:color w:val="000000"/>
        </w:rPr>
        <w:t>mikrouzņēmums</w:t>
      </w:r>
      <w:proofErr w:type="spellEnd"/>
      <w:r>
        <w:rPr>
          <w:color w:val="000000"/>
        </w:rPr>
        <w:t xml:space="preserve"> kļūst vai tam jākļūst par reģistrētu pievienotās vērtības nodokļa maksātāju saskaņā ar Pievienotās vērtības nodokļa likumu, tas zaudē </w:t>
      </w:r>
      <w:proofErr w:type="spellStart"/>
      <w:r>
        <w:rPr>
          <w:color w:val="000000"/>
        </w:rPr>
        <w:t>mikrouzņēmumu</w:t>
      </w:r>
      <w:proofErr w:type="spellEnd"/>
      <w:r>
        <w:rPr>
          <w:color w:val="000000"/>
        </w:rPr>
        <w:t xml:space="preserve"> nodokļa maksātāja statusu ar nākamo taksācijas periodu.</w:t>
      </w:r>
      <w:r>
        <w:rPr>
          <w:color w:val="000000"/>
          <w:vertAlign w:val="superscript"/>
        </w:rPr>
        <w:footnoteReference w:customMarkFollows="1" w:id="3"/>
        <w:t>[3]</w:t>
      </w:r>
    </w:p>
    <w:p w14:paraId="39F644C3" w14:textId="77777777" w:rsidR="00641F9F" w:rsidRDefault="00641F9F" w:rsidP="00641F9F">
      <w:pPr>
        <w:ind w:firstLine="720"/>
        <w:jc w:val="both"/>
      </w:pPr>
      <w:r>
        <w:rPr>
          <w:color w:val="000000"/>
        </w:rPr>
        <w:t xml:space="preserve">Vienlaikus no </w:t>
      </w:r>
      <w:proofErr w:type="spellStart"/>
      <w:r>
        <w:rPr>
          <w:color w:val="000000"/>
        </w:rPr>
        <w:t>Mikrouzņēmumu</w:t>
      </w:r>
      <w:proofErr w:type="spellEnd"/>
      <w:r>
        <w:rPr>
          <w:color w:val="000000"/>
        </w:rPr>
        <w:t xml:space="preserve"> nodokļa likuma tika izslēgta norma, kas noteica </w:t>
      </w:r>
      <w:proofErr w:type="spellStart"/>
      <w:r>
        <w:rPr>
          <w:color w:val="000000"/>
        </w:rPr>
        <w:t>mikrouzņēmuma</w:t>
      </w:r>
      <w:proofErr w:type="spellEnd"/>
      <w:r>
        <w:rPr>
          <w:color w:val="000000"/>
        </w:rPr>
        <w:t xml:space="preserve"> darbinieku skaita ierobežojumu, kā arī norma, kas paredzēja piemērot papildu likmi par katru papildus nodarbināto darbinieku, </w:t>
      </w:r>
      <w:proofErr w:type="spellStart"/>
      <w:r>
        <w:rPr>
          <w:color w:val="000000"/>
        </w:rPr>
        <w:t>mikrouzņēmumu</w:t>
      </w:r>
      <w:proofErr w:type="spellEnd"/>
      <w:r>
        <w:rPr>
          <w:color w:val="000000"/>
        </w:rPr>
        <w:t xml:space="preserve"> nodokļa maksātāja darbinieka algas ierobežojums – 720 </w:t>
      </w:r>
      <w:proofErr w:type="spellStart"/>
      <w:r>
        <w:rPr>
          <w:color w:val="000000"/>
        </w:rPr>
        <w:t>euro</w:t>
      </w:r>
      <w:proofErr w:type="spellEnd"/>
      <w:r>
        <w:rPr>
          <w:color w:val="000000"/>
        </w:rPr>
        <w:t xml:space="preserve"> mēnesī, norma, kas noteica piemērot palielinātu </w:t>
      </w:r>
      <w:proofErr w:type="spellStart"/>
      <w:r>
        <w:rPr>
          <w:color w:val="000000"/>
        </w:rPr>
        <w:t>mikrouzņēmumu</w:t>
      </w:r>
      <w:proofErr w:type="spellEnd"/>
      <w:r>
        <w:rPr>
          <w:color w:val="000000"/>
        </w:rPr>
        <w:t xml:space="preserve"> nodokļa likmi no </w:t>
      </w:r>
      <w:proofErr w:type="spellStart"/>
      <w:r>
        <w:rPr>
          <w:color w:val="000000"/>
        </w:rPr>
        <w:t>mikrouzņēmuma</w:t>
      </w:r>
      <w:proofErr w:type="spellEnd"/>
      <w:r>
        <w:rPr>
          <w:color w:val="000000"/>
        </w:rPr>
        <w:t xml:space="preserve"> gūtajai </w:t>
      </w:r>
      <w:proofErr w:type="spellStart"/>
      <w:r>
        <w:rPr>
          <w:color w:val="000000"/>
        </w:rPr>
        <w:t>mikrouzņēmuma</w:t>
      </w:r>
      <w:proofErr w:type="spellEnd"/>
      <w:r>
        <w:rPr>
          <w:color w:val="000000"/>
        </w:rPr>
        <w:t xml:space="preserve"> darbinieka ienākuma daļai, kas pārsniedz 720 </w:t>
      </w:r>
      <w:proofErr w:type="spellStart"/>
      <w:r>
        <w:rPr>
          <w:color w:val="000000"/>
        </w:rPr>
        <w:t>euro</w:t>
      </w:r>
      <w:proofErr w:type="spellEnd"/>
      <w:r>
        <w:rPr>
          <w:color w:val="000000"/>
        </w:rPr>
        <w:t xml:space="preserve"> mēnesī, kā arī norma par palielinātas</w:t>
      </w:r>
      <w:r>
        <w:t xml:space="preserve"> </w:t>
      </w:r>
      <w:proofErr w:type="spellStart"/>
      <w:r>
        <w:t>mikrouzņēmumu</w:t>
      </w:r>
      <w:proofErr w:type="spellEnd"/>
      <w:r>
        <w:t xml:space="preserve"> nodokļa likmes piemērošanu, ja tiek pārsniegts </w:t>
      </w:r>
      <w:proofErr w:type="spellStart"/>
      <w:r>
        <w:t>Mikrouzņēmumu</w:t>
      </w:r>
      <w:proofErr w:type="spellEnd"/>
      <w:r>
        <w:t xml:space="preserve"> nodokļa likumā noteiktais </w:t>
      </w:r>
      <w:proofErr w:type="spellStart"/>
      <w:r>
        <w:t>mikrouzņēmuma</w:t>
      </w:r>
      <w:proofErr w:type="spellEnd"/>
      <w:r>
        <w:t xml:space="preserve"> apgrozījuma ierobežojuma slieksnis.</w:t>
      </w:r>
    </w:p>
    <w:p w14:paraId="37B8B0E0" w14:textId="77777777" w:rsidR="00641F9F" w:rsidRDefault="00641F9F" w:rsidP="00641F9F">
      <w:pPr>
        <w:ind w:firstLine="720"/>
        <w:jc w:val="both"/>
        <w:rPr>
          <w:color w:val="000000"/>
        </w:rPr>
      </w:pPr>
      <w:r>
        <w:rPr>
          <w:color w:val="000000"/>
        </w:rPr>
        <w:lastRenderedPageBreak/>
        <w:t xml:space="preserve">Tādējādi atkarībā no tā, kādus datus nepieciešams analizēt, atkārtoti lūdzam ņemt vērā 2020.gada 26.novembra grozījumus </w:t>
      </w:r>
      <w:proofErr w:type="spellStart"/>
      <w:r>
        <w:rPr>
          <w:color w:val="000000"/>
        </w:rPr>
        <w:t>Mikrouzņēmumu</w:t>
      </w:r>
      <w:proofErr w:type="spellEnd"/>
      <w:r>
        <w:rPr>
          <w:color w:val="000000"/>
        </w:rPr>
        <w:t xml:space="preserve"> nodokļa likumā, kas stājās spēkā 2021.gada 1.janvārī. </w:t>
      </w:r>
    </w:p>
    <w:p w14:paraId="43665884" w14:textId="77777777" w:rsidR="00641F9F" w:rsidRDefault="00641F9F" w:rsidP="00641F9F">
      <w:pPr>
        <w:rPr>
          <w:color w:val="000000"/>
        </w:rPr>
      </w:pPr>
    </w:p>
    <w:p w14:paraId="485EA34F" w14:textId="77777777" w:rsidR="00641F9F" w:rsidRDefault="00641F9F" w:rsidP="00641F9F">
      <w:pPr>
        <w:ind w:firstLine="709"/>
        <w:jc w:val="both"/>
        <w:rPr>
          <w:color w:val="000000"/>
        </w:rPr>
      </w:pPr>
      <w:r>
        <w:rPr>
          <w:color w:val="000000"/>
        </w:rPr>
        <w:t>Papildus norādām, ka ar 2020.gada 16.jūnijā veiktajiem grozījumiem Ministru kabineta 2010. gada 7. septembra noteikumos Nr. 827 "</w:t>
      </w:r>
      <w:hyperlink r:id="rId6" w:tgtFrame="_blank" w:history="1">
        <w:r>
          <w:rPr>
            <w:rStyle w:val="Hyperlink"/>
            <w:color w:val="000000"/>
          </w:rPr>
          <w:t>Noteikumi par valsts sociālās apdrošināšanas obligāto iemaksu veicēju reģistrāciju un ziņojumiem par valsts sociālās apdrošināšanas obligātajām iemaksām un iedzīvotāju ienākuma nodokli</w:t>
        </w:r>
      </w:hyperlink>
      <w:r>
        <w:rPr>
          <w:color w:val="000000"/>
        </w:rPr>
        <w:t>", kas stājās spēkā ar 2021.gada 1.janvāri, pārskata “ Ziņojums par valsts sociālās apdrošināšanas obligātajām iemaksām no darba ņēmēju darba ienākumiem, iedzīvotāju ienākuma nodokli un uzņēmējdarbības riska valsts nodevu pārskata mēnesī “nosaukums ir aizstāts ar nosaukumu “Darba devēja ziņojums”. Tādējādi ierosinām izvērtēt Ministru kabineta noteikumu projekta pielikuma 3.tabulas 59.ailē norādītā pārskata nosaukumu korektumu.</w:t>
      </w:r>
    </w:p>
    <w:p w14:paraId="71ABE1FE" w14:textId="77777777" w:rsidR="00641F9F" w:rsidRDefault="00641F9F" w:rsidP="00641F9F">
      <w:pPr>
        <w:ind w:firstLine="709"/>
        <w:jc w:val="both"/>
        <w:rPr>
          <w:color w:val="1F497D"/>
          <w:lang w:eastAsia="en-US"/>
        </w:rPr>
      </w:pPr>
    </w:p>
    <w:p w14:paraId="6A09B45F" w14:textId="77777777" w:rsidR="00641F9F" w:rsidRDefault="00641F9F" w:rsidP="00641F9F">
      <w:pPr>
        <w:spacing w:after="240"/>
        <w:rPr>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Andžela </w:t>
      </w:r>
      <w:proofErr w:type="spellStart"/>
      <w:r>
        <w:rPr>
          <w:rFonts w:ascii="Franklin Gothic Medium" w:hAnsi="Franklin Gothic Medium"/>
          <w:b/>
          <w:bCs/>
          <w:color w:val="1F497D"/>
          <w:sz w:val="20"/>
          <w:szCs w:val="20"/>
          <w:lang w:eastAsia="en-US"/>
        </w:rPr>
        <w:t>Aperčoje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67095451</w:t>
      </w:r>
      <w:r>
        <w:rPr>
          <w:rFonts w:ascii="Franklin Gothic Book" w:hAnsi="Franklin Gothic Book"/>
          <w:color w:val="767573"/>
          <w:sz w:val="16"/>
          <w:szCs w:val="16"/>
          <w:lang w:eastAsia="en-US"/>
        </w:rPr>
        <w:br/>
        <w:t xml:space="preserve">E-pasts: </w:t>
      </w:r>
      <w:hyperlink r:id="rId7" w:history="1">
        <w:r>
          <w:rPr>
            <w:rStyle w:val="Hyperlink"/>
            <w:rFonts w:ascii="Franklin Gothic Book" w:hAnsi="Franklin Gothic Book"/>
            <w:sz w:val="16"/>
            <w:szCs w:val="16"/>
            <w:lang w:eastAsia="en-US"/>
          </w:rPr>
          <w:t>andzela.apercoje@fm.gov.lv</w:t>
        </w:r>
      </w:hyperlink>
    </w:p>
    <w:p w14:paraId="11599E52" w14:textId="77777777" w:rsidR="00641F9F" w:rsidRDefault="00641F9F" w:rsidP="00641F9F">
      <w:pPr>
        <w:spacing w:after="240"/>
        <w:rPr>
          <w:color w:val="767573"/>
          <w:sz w:val="18"/>
          <w:szCs w:val="18"/>
          <w:lang w:eastAsia="en-US"/>
        </w:rPr>
      </w:pPr>
      <w:r>
        <w:rPr>
          <w:b/>
          <w:bCs/>
          <w:color w:val="1F497D"/>
          <w:sz w:val="18"/>
          <w:szCs w:val="18"/>
          <w:lang w:eastAsia="en-US"/>
        </w:rPr>
        <w:t xml:space="preserve">Solvita </w:t>
      </w:r>
      <w:proofErr w:type="spellStart"/>
      <w:r>
        <w:rPr>
          <w:b/>
          <w:bCs/>
          <w:color w:val="1F497D"/>
          <w:sz w:val="18"/>
          <w:szCs w:val="18"/>
          <w:lang w:eastAsia="en-US"/>
        </w:rPr>
        <w:t>Rikveile</w:t>
      </w:r>
      <w:proofErr w:type="spellEnd"/>
      <w:r>
        <w:rPr>
          <w:color w:val="767573"/>
          <w:sz w:val="18"/>
          <w:szCs w:val="18"/>
          <w:lang w:eastAsia="en-US"/>
        </w:rPr>
        <w:br/>
        <w:t xml:space="preserve">Tiešo nodokļu departamenta </w:t>
      </w:r>
      <w:r>
        <w:rPr>
          <w:color w:val="767573"/>
          <w:sz w:val="18"/>
          <w:szCs w:val="18"/>
          <w:lang w:eastAsia="en-US"/>
        </w:rPr>
        <w:br/>
        <w:t>Uzņēmumu nodokļu un starptautisko nodokļu jautājumu nodaļa</w:t>
      </w:r>
      <w:r>
        <w:rPr>
          <w:color w:val="767573"/>
          <w:sz w:val="18"/>
          <w:szCs w:val="18"/>
          <w:lang w:eastAsia="en-US"/>
        </w:rPr>
        <w:br/>
        <w:t xml:space="preserve">E-pasts: </w:t>
      </w:r>
      <w:hyperlink r:id="rId8" w:history="1">
        <w:r>
          <w:rPr>
            <w:rStyle w:val="Hyperlink"/>
            <w:color w:val="1F497D"/>
            <w:sz w:val="18"/>
            <w:szCs w:val="18"/>
            <w:lang w:eastAsia="en-US"/>
          </w:rPr>
          <w:t>solvita.rikveile@fm.gov.lv</w:t>
        </w:r>
      </w:hyperlink>
      <w:r>
        <w:rPr>
          <w:color w:val="1F497D"/>
          <w:sz w:val="18"/>
          <w:szCs w:val="18"/>
          <w:lang w:eastAsia="en-US"/>
        </w:rPr>
        <w:br/>
      </w:r>
      <w:r>
        <w:rPr>
          <w:color w:val="767573"/>
          <w:sz w:val="18"/>
          <w:szCs w:val="18"/>
          <w:lang w:eastAsia="en-US"/>
        </w:rPr>
        <w:t>Tālr.: 29273909</w:t>
      </w:r>
    </w:p>
    <w:p w14:paraId="361B624B" w14:textId="12F1E6D2" w:rsidR="00641F9F" w:rsidRDefault="00641F9F" w:rsidP="00641F9F">
      <w:pPr>
        <w:spacing w:after="240"/>
        <w:rPr>
          <w:color w:val="1F497D"/>
          <w:lang w:eastAsia="en-US"/>
        </w:rPr>
      </w:pP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9"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10"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56FCCC52" wp14:editId="740585FB">
            <wp:extent cx="711200" cy="723900"/>
            <wp:effectExtent l="0" t="0" r="12700" b="0"/>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r>
        <w:rPr>
          <w:rFonts w:ascii="Franklin Gothic Book" w:hAnsi="Franklin Gothic Book"/>
          <w:color w:val="1F497D"/>
          <w:sz w:val="16"/>
          <w:szCs w:val="16"/>
          <w:lang w:eastAsia="en-US"/>
        </w:rPr>
        <w:t> </w:t>
      </w:r>
    </w:p>
    <w:p w14:paraId="49F9F369" w14:textId="77777777" w:rsidR="0099466B" w:rsidRDefault="0099466B"/>
    <w:sectPr w:rsidR="0099466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C1F63" w14:textId="77777777" w:rsidR="00641F9F" w:rsidRDefault="00641F9F" w:rsidP="00641F9F">
      <w:r>
        <w:separator/>
      </w:r>
    </w:p>
  </w:endnote>
  <w:endnote w:type="continuationSeparator" w:id="0">
    <w:p w14:paraId="32B14DA7" w14:textId="77777777" w:rsidR="00641F9F" w:rsidRDefault="00641F9F" w:rsidP="0064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5F4A0" w14:textId="77777777" w:rsidR="00641F9F" w:rsidRDefault="00641F9F" w:rsidP="00641F9F">
      <w:r>
        <w:separator/>
      </w:r>
    </w:p>
  </w:footnote>
  <w:footnote w:type="continuationSeparator" w:id="0">
    <w:p w14:paraId="1CE3F3ED" w14:textId="77777777" w:rsidR="00641F9F" w:rsidRDefault="00641F9F" w:rsidP="00641F9F">
      <w:r>
        <w:continuationSeparator/>
      </w:r>
    </w:p>
  </w:footnote>
  <w:footnote w:id="1">
    <w:p w14:paraId="53969B0E" w14:textId="77777777" w:rsidR="00641F9F" w:rsidRDefault="00641F9F" w:rsidP="00641F9F">
      <w:pPr>
        <w:pStyle w:val="FootnoteText"/>
      </w:pPr>
      <w:r>
        <w:rPr>
          <w:rStyle w:val="FootnoteReference"/>
        </w:rPr>
        <w:t>[1]</w:t>
      </w:r>
      <w:r>
        <w:t xml:space="preserve"> </w:t>
      </w:r>
      <w:proofErr w:type="spellStart"/>
      <w:r>
        <w:rPr>
          <w:rFonts w:ascii="Times New Roman" w:hAnsi="Times New Roman" w:cs="Times New Roman"/>
        </w:rPr>
        <w:t>Mikrouzņēmumu</w:t>
      </w:r>
      <w:proofErr w:type="spellEnd"/>
      <w:r>
        <w:rPr>
          <w:rFonts w:ascii="Times New Roman" w:hAnsi="Times New Roman" w:cs="Times New Roman"/>
        </w:rPr>
        <w:t xml:space="preserve"> nodokļa likuma 2.</w:t>
      </w:r>
      <w:r>
        <w:rPr>
          <w:rFonts w:ascii="Times New Roman" w:hAnsi="Times New Roman" w:cs="Times New Roman"/>
          <w:vertAlign w:val="superscript"/>
        </w:rPr>
        <w:t xml:space="preserve">1 </w:t>
      </w:r>
      <w:r>
        <w:rPr>
          <w:rFonts w:ascii="Times New Roman" w:hAnsi="Times New Roman" w:cs="Times New Roman"/>
        </w:rPr>
        <w:t> pants</w:t>
      </w:r>
    </w:p>
  </w:footnote>
  <w:footnote w:id="2">
    <w:p w14:paraId="53C750AF" w14:textId="77777777" w:rsidR="00641F9F" w:rsidRDefault="00641F9F" w:rsidP="00641F9F">
      <w:pPr>
        <w:pStyle w:val="FootnoteText"/>
      </w:pPr>
      <w:r>
        <w:rPr>
          <w:rStyle w:val="FootnoteReference"/>
        </w:rPr>
        <w:t>[2]</w:t>
      </w:r>
      <w:r>
        <w:t xml:space="preserve"> </w:t>
      </w:r>
      <w:proofErr w:type="spellStart"/>
      <w:r>
        <w:rPr>
          <w:rFonts w:ascii="Times New Roman" w:hAnsi="Times New Roman" w:cs="Times New Roman"/>
        </w:rPr>
        <w:t>Mikrouzņēmumu</w:t>
      </w:r>
      <w:proofErr w:type="spellEnd"/>
      <w:r>
        <w:rPr>
          <w:rFonts w:ascii="Times New Roman" w:hAnsi="Times New Roman" w:cs="Times New Roman"/>
        </w:rPr>
        <w:t xml:space="preserve"> nodokļa likuma pārejas noteikumu 31. un 35.punkts</w:t>
      </w:r>
    </w:p>
  </w:footnote>
  <w:footnote w:id="3">
    <w:p w14:paraId="206F394B" w14:textId="77777777" w:rsidR="00641F9F" w:rsidRDefault="00641F9F" w:rsidP="00641F9F">
      <w:pPr>
        <w:pStyle w:val="FootnoteText"/>
      </w:pPr>
      <w:r>
        <w:rPr>
          <w:rStyle w:val="FootnoteReference"/>
        </w:rPr>
        <w:t>[3]</w:t>
      </w:r>
      <w:r>
        <w:t xml:space="preserve"> </w:t>
      </w:r>
      <w:proofErr w:type="spellStart"/>
      <w:r>
        <w:rPr>
          <w:rFonts w:ascii="Times New Roman" w:hAnsi="Times New Roman" w:cs="Times New Roman"/>
        </w:rPr>
        <w:t>Mikrouzņēmumu</w:t>
      </w:r>
      <w:proofErr w:type="spellEnd"/>
      <w:r>
        <w:rPr>
          <w:rFonts w:ascii="Times New Roman" w:hAnsi="Times New Roman" w:cs="Times New Roman"/>
        </w:rPr>
        <w:t xml:space="preserve"> nodokļa likuma 1.panta 3.punkts, 4.panta pirmā daļa un astotā daļa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9F"/>
    <w:rsid w:val="00641F9F"/>
    <w:rsid w:val="009946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7D62C"/>
  <w15:chartTrackingRefBased/>
  <w15:docId w15:val="{3B9E92D8-D586-4B0B-BC37-0A9DB3B0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9F"/>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41F9F"/>
    <w:rPr>
      <w:color w:val="0563C1"/>
      <w:u w:val="single"/>
    </w:rPr>
  </w:style>
  <w:style w:type="paragraph" w:styleId="FootnoteText">
    <w:name w:val="footnote text"/>
    <w:basedOn w:val="Normal"/>
    <w:link w:val="FootnoteTextChar"/>
    <w:uiPriority w:val="99"/>
    <w:semiHidden/>
    <w:unhideWhenUsed/>
    <w:rsid w:val="00641F9F"/>
    <w:rPr>
      <w:sz w:val="20"/>
      <w:szCs w:val="20"/>
    </w:rPr>
  </w:style>
  <w:style w:type="character" w:customStyle="1" w:styleId="FootnoteTextChar">
    <w:name w:val="Footnote Text Char"/>
    <w:basedOn w:val="DefaultParagraphFont"/>
    <w:link w:val="FootnoteText"/>
    <w:uiPriority w:val="99"/>
    <w:semiHidden/>
    <w:rsid w:val="00641F9F"/>
    <w:rPr>
      <w:rFonts w:ascii="Calibri" w:hAnsi="Calibri" w:cs="Calibri"/>
      <w:sz w:val="20"/>
      <w:szCs w:val="20"/>
      <w:lang w:eastAsia="lv-LV"/>
    </w:rPr>
  </w:style>
  <w:style w:type="character" w:styleId="FootnoteReference">
    <w:name w:val="footnote reference"/>
    <w:basedOn w:val="DefaultParagraphFont"/>
    <w:uiPriority w:val="99"/>
    <w:semiHidden/>
    <w:unhideWhenUsed/>
    <w:rsid w:val="00641F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42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olvita.rikveile@fm.gov.lv" TargetMode="External"/><Relationship Id="rId13" Type="http://schemas.openxmlformats.org/officeDocument/2006/relationships/image" Target="cid:image001.jpg@01D7B47C.5CE69A40" TargetMode="External"/><Relationship Id="rId3" Type="http://schemas.openxmlformats.org/officeDocument/2006/relationships/webSettings" Target="webSettings.xml"/><Relationship Id="rId7" Type="http://schemas.openxmlformats.org/officeDocument/2006/relationships/hyperlink" Target="mailto:andzela.apercoje@fm.gov.lv" TargetMode="External"/><Relationship Id="rId12"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17642-noteikumi-par-valsts-socialas-apdrosinasanas-obligato-iemaksu-veiceju-registraciju-un-zinojumiem-par-valsts-socialas-apdrosinas..." TargetMode="External"/><Relationship Id="rId11" Type="http://schemas.openxmlformats.org/officeDocument/2006/relationships/hyperlink" Target="http://www.fm.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pasts@fm.gov.lv" TargetMode="External"/><Relationship Id="rId4" Type="http://schemas.openxmlformats.org/officeDocument/2006/relationships/footnotes" Target="footnotes.xml"/><Relationship Id="rId9" Type="http://schemas.openxmlformats.org/officeDocument/2006/relationships/hyperlink" Target="www.f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3410</Words>
  <Characters>1945</Characters>
  <Application>Microsoft Office Word</Application>
  <DocSecurity>0</DocSecurity>
  <Lines>16</Lines>
  <Paragraphs>10</Paragraphs>
  <ScaleCrop>false</ScaleCrop>
  <Company>Central Statistical Bureau of Latvia</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Svarupa</dc:creator>
  <cp:keywords/>
  <dc:description/>
  <cp:lastModifiedBy>Ance Svarupa</cp:lastModifiedBy>
  <cp:revision>1</cp:revision>
  <dcterms:created xsi:type="dcterms:W3CDTF">2021-09-30T09:37:00Z</dcterms:created>
  <dcterms:modified xsi:type="dcterms:W3CDTF">2021-09-30T09:38:00Z</dcterms:modified>
</cp:coreProperties>
</file>