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C1C29" w14:textId="3E54589C" w:rsidR="00830970" w:rsidRPr="0020789B" w:rsidRDefault="006F4902" w:rsidP="00F134BD">
      <w:r w:rsidRPr="0020789B">
        <w:t xml:space="preserve">Uz </w:t>
      </w:r>
      <w:r w:rsidR="003F1360" w:rsidRPr="0020789B">
        <w:rPr>
          <w:rFonts w:eastAsia="Times New Roman"/>
          <w:szCs w:val="24"/>
          <w:lang w:eastAsia="lv-LV"/>
        </w:rPr>
        <w:t>05.07.2021. VSS prot. Nr. 25 29.§ (VSS-612)</w:t>
      </w:r>
    </w:p>
    <w:p w14:paraId="0B2632B3" w14:textId="5373A3C4" w:rsidR="006F4902" w:rsidRPr="0020789B" w:rsidRDefault="006F4902" w:rsidP="00F134BD"/>
    <w:p w14:paraId="1E6CFBE6" w14:textId="77777777" w:rsidR="003F1360" w:rsidRPr="0020789B" w:rsidRDefault="006F4902" w:rsidP="003F1360">
      <w:pPr>
        <w:jc w:val="right"/>
        <w:rPr>
          <w:b/>
          <w:bCs/>
        </w:rPr>
      </w:pPr>
      <w:r w:rsidRPr="0020789B">
        <w:rPr>
          <w:b/>
          <w:bCs/>
        </w:rPr>
        <w:t>Korupcijas novēršanas un</w:t>
      </w:r>
    </w:p>
    <w:p w14:paraId="165E6C86" w14:textId="33535191" w:rsidR="006F4902" w:rsidRPr="0020789B" w:rsidRDefault="006F4902" w:rsidP="003F1360">
      <w:pPr>
        <w:jc w:val="right"/>
        <w:rPr>
          <w:b/>
          <w:bCs/>
        </w:rPr>
      </w:pPr>
      <w:r w:rsidRPr="0020789B">
        <w:rPr>
          <w:b/>
          <w:bCs/>
        </w:rPr>
        <w:t>apkarošanas birojam</w:t>
      </w:r>
    </w:p>
    <w:p w14:paraId="068661F4" w14:textId="6C68927F" w:rsidR="006F4902" w:rsidRPr="0020789B" w:rsidRDefault="006F4902" w:rsidP="00F134BD"/>
    <w:p w14:paraId="02C90F92" w14:textId="0DF89F22" w:rsidR="006F4902" w:rsidRPr="0020789B" w:rsidRDefault="006F4902" w:rsidP="003F1360">
      <w:pPr>
        <w:ind w:right="4548"/>
        <w:rPr>
          <w:i/>
          <w:iCs/>
        </w:rPr>
      </w:pPr>
      <w:r w:rsidRPr="0020789B">
        <w:rPr>
          <w:i/>
          <w:iCs/>
        </w:rPr>
        <w:t>Par plāna projektu "</w:t>
      </w:r>
      <w:r w:rsidR="003F1360" w:rsidRPr="0020789B">
        <w:rPr>
          <w:i/>
          <w:iCs/>
        </w:rPr>
        <w:t>Korupcijas novēršanas un apkarošanas pasākumu plāns 2021.-2024.gadam"</w:t>
      </w:r>
    </w:p>
    <w:p w14:paraId="15FDA083" w14:textId="3E038E2B" w:rsidR="003F1360" w:rsidRPr="0020789B" w:rsidRDefault="003F1360" w:rsidP="00F134BD"/>
    <w:p w14:paraId="2971D386" w14:textId="25A0655C" w:rsidR="003F1360" w:rsidRPr="0020789B" w:rsidRDefault="003F1360" w:rsidP="003F1360">
      <w:pPr>
        <w:ind w:firstLine="720"/>
      </w:pPr>
      <w:r w:rsidRPr="0020789B">
        <w:t>Tieslietu ministrija ir izskatījusi Korupcijas novēršanas un apkarošanas biroja sagatavoto plāna projektu "Korupcijas novēršanas un apkarošanas pasākumu plāns 2021.-2024.gadam" (turpmāk – plāna projekts) un atbalsta tā virzību, izsakot šādus iebildumus:</w:t>
      </w:r>
    </w:p>
    <w:p w14:paraId="49E69454" w14:textId="77777777" w:rsidR="00B95FDD" w:rsidRPr="0020789B" w:rsidRDefault="00B95FDD" w:rsidP="00B95FDD">
      <w:pPr>
        <w:ind w:firstLine="720"/>
      </w:pPr>
      <w:r w:rsidRPr="0020789B">
        <w:t xml:space="preserve">1. </w:t>
      </w:r>
      <w:bookmarkStart w:id="0" w:name="_Hlk77068099"/>
      <w:r w:rsidRPr="0020789B">
        <w:t xml:space="preserve">Plāna projekta II sadaļas 3. nodaļā pie 1. apakšmērķa i. apakšpunkta </w:t>
      </w:r>
      <w:bookmarkEnd w:id="0"/>
      <w:r w:rsidRPr="0020789B">
        <w:t>ir norādīts: “Ar grozījumiem KL 316. pantā, kas pieņemti Saeimā 2014. gada 15. maijā un stājās spēkā 2014. gada 14. jūnijā, precizēts valsts amatpersonas jēdziens, skaidrāk nosakot personu loku, uz kuru attiecināmi preventīvie pretkorupcijas pasākumi.”. Vēlamies vērst uzmanību, ka šāds apgalvojums nav korekts. Proti, Grozījumi Krimināllikumā, kas stājās spēkā 2014. gada 14. jūnijā, tika izstrādāti ar mērķi precizēt to personu loku, kuri Krimināllikuma izpratnē būtu uzskatāmi par valsts amatpersonām. Tomēr norādāms, ka Krimināllikuma mērķis nav noziedzīga nodarījuma izdarīšanas novēršana (</w:t>
      </w:r>
      <w:proofErr w:type="spellStart"/>
      <w:r w:rsidRPr="0020789B">
        <w:t>prevencija</w:t>
      </w:r>
      <w:proofErr w:type="spellEnd"/>
      <w:r w:rsidRPr="0020789B">
        <w:t>), bet gan kriminālatbildības par šāda nodarījuma izdarīšanu nodrošināšana. Līdz ar to atbilstoši krimināltiesību pamatprincipiem nav pieļaujams apgalvojums, ka ar grozījumiem Krimināllikumā tika skaidrāk noteikts personu loks, uz kuru attiecas preventīvie pretkorupcijas pasākumi, jo tie ir noteikti likumā “Par interešu konflikta novēršanu valsts amatpersonu darbībā”.</w:t>
      </w:r>
    </w:p>
    <w:p w14:paraId="2DD54477" w14:textId="77777777" w:rsidR="00B95FDD" w:rsidRPr="0020789B" w:rsidRDefault="00B95FDD" w:rsidP="00B95FDD">
      <w:pPr>
        <w:ind w:firstLine="720"/>
      </w:pPr>
      <w:r w:rsidRPr="0020789B">
        <w:t xml:space="preserve">2. Plāna projekta </w:t>
      </w:r>
      <w:bookmarkStart w:id="1" w:name="_Hlk77069260"/>
      <w:r w:rsidRPr="0020789B">
        <w:t xml:space="preserve">II sadaļas 3. nodaļā pie 4. apakšmērķa </w:t>
      </w:r>
      <w:bookmarkEnd w:id="1"/>
      <w:r w:rsidRPr="0020789B">
        <w:t>ir norādīts: “Turpinās darbs pie iespējamo grozījumu redakcijas izstrādes KPL, paredzot regulējumu par juridiskajām personām piemērojamo nodrošinājuma (drošības) līdzekļu piemērošanu kriminālprocesā.”. Vienlaikus plāna projekta 9.2. apakšpunktā ietvertais pasākums noteic: “Nodrošināt fiziskajām personām ekvivalentu drošības līdzekļu ieviešanu arī tajās situācijās, kad tiek piemēroti KL paredzētie piespiedu ietekmēšanas līdzekļi attiecībā uz juridiskajām personām.”. Vēlamies informēt, ka Tieslietu ministrijas patstāvīgajā Kriminālprocesa likuma darba grupā ir izstrādāts regulējums attiecībā uz juridisko personu nodrošinājuma līdzekļiem, kas tika iekļauts likumprojektā "Grozījumi Kriminālprocesa likumā", ko plānots izsludināt Valsts sekretāru sanāksmē 2021. gada augustā. Likumprojekts ir sagatavots ar mērķi pilnveidot kriminālprocesuālo regulējumu attiecībā uz procesu par piespiedu ietekmēšanas līdzekļa piemērošanu juridiskajai personai, nosakot jaunu procesuālo sankciju veidu – nodrošinājuma līdzekļi juridiskajai personai. Ar grozījumiem paredzēts noteikt trīs veidu nodrošinājuma līdzekļus, kā arī paplašināt iespēju piemērot piespiedu naudu juridiskajām personām gadījumos, ja piemērotie nodrošinājuma līdzekļi netiek ievēroti. Līdz ar to, ievērojot minēto, uzskatām, ka šāda apgalvojuma un uzdevuma iekļaušana nav nepieciešama.</w:t>
      </w:r>
    </w:p>
    <w:p w14:paraId="69B05CEC" w14:textId="77777777" w:rsidR="00B95FDD" w:rsidRPr="0020789B" w:rsidRDefault="00B95FDD" w:rsidP="00B95FDD">
      <w:pPr>
        <w:ind w:firstLine="720"/>
      </w:pPr>
      <w:r w:rsidRPr="0020789B">
        <w:lastRenderedPageBreak/>
        <w:t xml:space="preserve">3. Plāna projekta II sadaļas 3. nodaļā pie 4. apakšmērķa ir norādīts: “OECD </w:t>
      </w:r>
      <w:bookmarkStart w:id="2" w:name="_Hlk77069483"/>
      <w:bookmarkStart w:id="3" w:name="_Hlk77070261"/>
      <w:r w:rsidRPr="0020789B">
        <w:t>Kukuļošanas apkarošanas darba grupas</w:t>
      </w:r>
      <w:bookmarkEnd w:id="2"/>
      <w:r w:rsidRPr="0020789B">
        <w:t xml:space="preserve"> </w:t>
      </w:r>
      <w:bookmarkEnd w:id="3"/>
      <w:r w:rsidRPr="0020789B">
        <w:t>veiktajā Latvijas 3. fāzes novērtējuma ziņojumā, kas apstiprināts 2019. gada 10. oktobrī, kā prioritāte izvirzīta pastiprināta cīņa ar pārrobežu korupciju un ar to saistītajiem noziegumiem: naudas atmazgāšanu, finanšu noziegumiem, arī pārkāpumiem grāmatvedības jomā.” Vēršam uzmanību, ka OECD Kukuļošanas apkarošanas darba grupa (WGB) neizvirza prioritātes, bet gan nosaka rekomendācijas, kā uzlabot cīņu ar ārvalstu amatpersonu kukuļošanu, tā, lai tā atbilstu OECD Konvencijas prasībām. Ievērojot minēto, attiecīgā rindkopa būtu izsakāma šādā redakcijā: “OECD Kukuļošanas apkarošanas darba grupas veiktajā Latvijas 3. fāzes novērtējuma ziņojumā, kas apstiprināts 2019. gada 10. oktobrī, Latvija tiek aicināta pastiprināt cīņu ar pārrobežu korupciju un ar to saistītajiem noziegumiem: naudas atmazgāšanu, finanšu noziegumiem, arī pārkāpumiem grāmatvedības jomā.”</w:t>
      </w:r>
    </w:p>
    <w:p w14:paraId="2DE9C5D1" w14:textId="77777777" w:rsidR="00B95FDD" w:rsidRPr="0020789B" w:rsidRDefault="00B95FDD" w:rsidP="00B95FDD">
      <w:pPr>
        <w:ind w:firstLine="720"/>
      </w:pPr>
      <w:r w:rsidRPr="0020789B">
        <w:t>4. Plāna projekta II sadaļas 3. nodaļā pie 4. apakšmērķa ir norādīts: “Viens no būtiskiem soļiem minēto OECD rekomendāciju izpildē – 2021. gada 31. martā darbu uzsāka Ekonomisko lietu tiesa.” Ievērojot, ka minētās rekomendācijas ir sniegusi OECD Kukuļošanas apkarošanas darba grupa (WGB), lūdzam atbilstoši precizēt attiecīgo plāna projekta tekstu.</w:t>
      </w:r>
    </w:p>
    <w:p w14:paraId="64F97A15" w14:textId="1D1CD98A" w:rsidR="006F75BB" w:rsidRPr="0020789B" w:rsidRDefault="007357B8" w:rsidP="003F1360">
      <w:pPr>
        <w:ind w:firstLine="720"/>
        <w:rPr>
          <w:szCs w:val="24"/>
          <w:shd w:val="clear" w:color="auto" w:fill="FDFCFD"/>
        </w:rPr>
      </w:pPr>
      <w:r w:rsidRPr="0020789B">
        <w:rPr>
          <w:szCs w:val="24"/>
          <w:shd w:val="clear" w:color="auto" w:fill="FDFCFD"/>
        </w:rPr>
        <w:t>5</w:t>
      </w:r>
      <w:r w:rsidR="006F75BB" w:rsidRPr="0020789B">
        <w:rPr>
          <w:szCs w:val="24"/>
          <w:shd w:val="clear" w:color="auto" w:fill="FDFCFD"/>
        </w:rPr>
        <w:t>. Plāna projekta</w:t>
      </w:r>
      <w:r w:rsidR="00B95FDD" w:rsidRPr="0020789B">
        <w:rPr>
          <w:szCs w:val="24"/>
          <w:shd w:val="clear" w:color="auto" w:fill="FDFCFD"/>
        </w:rPr>
        <w:t xml:space="preserve"> III sadaļas</w:t>
      </w:r>
      <w:r w:rsidR="006F75BB" w:rsidRPr="0020789B">
        <w:rPr>
          <w:szCs w:val="24"/>
          <w:shd w:val="clear" w:color="auto" w:fill="FDFCFD"/>
        </w:rPr>
        <w:t xml:space="preserve"> 1.8.apakšpunktā ietvertais pasākums paredz </w:t>
      </w:r>
      <w:r w:rsidR="006F75BB" w:rsidRPr="0020789B">
        <w:rPr>
          <w:rFonts w:eastAsia="Times New Roman"/>
          <w:szCs w:val="24"/>
          <w:lang w:eastAsia="lv-LV"/>
        </w:rPr>
        <w:t xml:space="preserve">izvērtēt Saeimas deputātiem normatīvajos aktos paredzētās tiesības savienot Saeimas deputāta amatu ar ministra amatu, Tieslietu ministriju nosakot kā atbildīgo institūciju šā uzdevuma izpildē. Norādām, ka šāda satura pasākums ir risināms politisko diskusiju ietvaros un Tieslietu ministrija </w:t>
      </w:r>
      <w:r w:rsidR="00C232E9" w:rsidRPr="0020789B">
        <w:rPr>
          <w:rFonts w:eastAsia="Times New Roman"/>
          <w:szCs w:val="24"/>
          <w:lang w:eastAsia="lv-LV"/>
        </w:rPr>
        <w:t xml:space="preserve">to </w:t>
      </w:r>
      <w:r w:rsidR="006F75BB" w:rsidRPr="0020789B">
        <w:rPr>
          <w:rFonts w:eastAsia="Times New Roman"/>
          <w:szCs w:val="24"/>
          <w:lang w:eastAsia="lv-LV"/>
        </w:rPr>
        <w:t>nevar vērtēt</w:t>
      </w:r>
      <w:r w:rsidR="00C232E9" w:rsidRPr="0020789B">
        <w:rPr>
          <w:rFonts w:eastAsia="Times New Roman"/>
          <w:szCs w:val="24"/>
          <w:lang w:eastAsia="lv-LV"/>
        </w:rPr>
        <w:t>, līdz ar to lūdzam minēto pasākumu svītrot no plāna projekta.</w:t>
      </w:r>
    </w:p>
    <w:p w14:paraId="38D265AB" w14:textId="2EA0ACD6" w:rsidR="00541A65" w:rsidRPr="0020789B" w:rsidRDefault="007357B8" w:rsidP="003F1360">
      <w:pPr>
        <w:ind w:firstLine="720"/>
        <w:rPr>
          <w:szCs w:val="24"/>
          <w:shd w:val="clear" w:color="auto" w:fill="FDFCFD"/>
        </w:rPr>
      </w:pPr>
      <w:r w:rsidRPr="0020789B">
        <w:t>6</w:t>
      </w:r>
      <w:r w:rsidR="00541A65" w:rsidRPr="0020789B">
        <w:t xml:space="preserve">. </w:t>
      </w:r>
      <w:r w:rsidR="00541A65" w:rsidRPr="0020789B">
        <w:rPr>
          <w:szCs w:val="24"/>
          <w:shd w:val="clear" w:color="auto" w:fill="FDFCFD"/>
        </w:rPr>
        <w:t>Plāna projekta</w:t>
      </w:r>
      <w:r w:rsidR="00B95FDD" w:rsidRPr="0020789B">
        <w:rPr>
          <w:szCs w:val="24"/>
          <w:shd w:val="clear" w:color="auto" w:fill="FDFCFD"/>
        </w:rPr>
        <w:t xml:space="preserve"> III sadaļas</w:t>
      </w:r>
      <w:r w:rsidR="00541A65" w:rsidRPr="0020789B">
        <w:rPr>
          <w:szCs w:val="24"/>
          <w:shd w:val="clear" w:color="auto" w:fill="FDFCFD"/>
        </w:rPr>
        <w:t xml:space="preserve"> 2.5.</w:t>
      </w:r>
      <w:r w:rsidR="005C179E" w:rsidRPr="0020789B">
        <w:rPr>
          <w:szCs w:val="24"/>
          <w:shd w:val="clear" w:color="auto" w:fill="FDFCFD"/>
        </w:rPr>
        <w:t>apakšpunktā paredzētais pasākums</w:t>
      </w:r>
      <w:r w:rsidR="00541A65" w:rsidRPr="0020789B">
        <w:rPr>
          <w:szCs w:val="24"/>
          <w:shd w:val="clear" w:color="auto" w:fill="FDFCFD"/>
        </w:rPr>
        <w:t xml:space="preserve"> nolūkā vairot atklātību un sabiedrības uzticību valsts amatpersonu darbībai paredz izvērtēt iespēju Latvijā ieviest ģimenes deklarācijas sistēmu attiecībā uz valsts amatpersonu radiniekiem, kā arī noteikt valsts amatpersonai pienākumu iesniegt papildu deklarāciju viena mēneša laikā pēc tam, kad tā veikusi darījumu (piemēram, saņēmusi mantojumu, dāvinājumu, izsniegusi vai saņēmusi aizdevumu, kuru summa pārsniedz noteiktu summu). Ņemot vērā, ka amatpersonu deklarācijas ir publiski pieejama informācija, var pieņemt, ka arī radinieku deklarācijas būs publiski pieejamas, t.i. ikvienam būs iespējams apskatīt deklarācijas saturu. </w:t>
      </w:r>
      <w:r w:rsidR="005C179E" w:rsidRPr="0020789B">
        <w:rPr>
          <w:szCs w:val="24"/>
          <w:shd w:val="clear" w:color="auto" w:fill="FDFCFD"/>
        </w:rPr>
        <w:t>Norādām</w:t>
      </w:r>
      <w:r w:rsidR="00541A65" w:rsidRPr="0020789B">
        <w:rPr>
          <w:szCs w:val="24"/>
          <w:shd w:val="clear" w:color="auto" w:fill="FDFCFD"/>
        </w:rPr>
        <w:t xml:space="preserve">, ka atbilstoši Eiropas Parlamenta un Padomes 2016. gada 27. aprīļa regulā (ES) 2016/679 par fizisku personu aizsardzību attiecībā uz personas datu apstrādi un šādu datu brīvu apriti un ar ko atceļ direktīvu 95/46/EK (Vispārīgā datu aizsardzības regula) </w:t>
      </w:r>
      <w:r w:rsidR="00B75021" w:rsidRPr="0020789B">
        <w:rPr>
          <w:szCs w:val="24"/>
          <w:shd w:val="clear" w:color="auto" w:fill="FDFCFD"/>
        </w:rPr>
        <w:t xml:space="preserve">(turpmāk – Datu regula) </w:t>
      </w:r>
      <w:r w:rsidR="00541A65" w:rsidRPr="0020789B">
        <w:rPr>
          <w:szCs w:val="24"/>
          <w:shd w:val="clear" w:color="auto" w:fill="FDFCFD"/>
        </w:rPr>
        <w:t xml:space="preserve">6.panta 1.punktam personas datu apstrāde ir likumīga tikai tādā apmērā un tikai tad, ja ir piemērojams vismaz viens no </w:t>
      </w:r>
      <w:r w:rsidR="00B75021" w:rsidRPr="0020789B">
        <w:rPr>
          <w:szCs w:val="24"/>
          <w:shd w:val="clear" w:color="auto" w:fill="FDFCFD"/>
        </w:rPr>
        <w:t>Datu r</w:t>
      </w:r>
      <w:r w:rsidR="00541A65" w:rsidRPr="0020789B">
        <w:rPr>
          <w:szCs w:val="24"/>
          <w:shd w:val="clear" w:color="auto" w:fill="FDFCFD"/>
        </w:rPr>
        <w:t xml:space="preserve">egulas 6.panta 1.punktā minētajiem tiesiskajiem pamatiem. Konkrētajā gadījumā vēršam uzmanību uz </w:t>
      </w:r>
      <w:r w:rsidR="00B75021" w:rsidRPr="0020789B">
        <w:rPr>
          <w:szCs w:val="24"/>
          <w:shd w:val="clear" w:color="auto" w:fill="FDFCFD"/>
        </w:rPr>
        <w:t>Datu r</w:t>
      </w:r>
      <w:r w:rsidR="00541A65" w:rsidRPr="0020789B">
        <w:rPr>
          <w:szCs w:val="24"/>
          <w:shd w:val="clear" w:color="auto" w:fill="FDFCFD"/>
        </w:rPr>
        <w:t>egulas 6.panta 1.punkta “e” apakšpunktu, saskaņā ar kuru personas datu apstrāde</w:t>
      </w:r>
      <w:r w:rsidR="00397F63" w:rsidRPr="0020789B">
        <w:rPr>
          <w:szCs w:val="24"/>
          <w:shd w:val="clear" w:color="auto" w:fill="FDFCFD"/>
        </w:rPr>
        <w:t>,</w:t>
      </w:r>
      <w:r w:rsidR="00541A65" w:rsidRPr="0020789B">
        <w:rPr>
          <w:szCs w:val="24"/>
          <w:shd w:val="clear" w:color="auto" w:fill="FDFCFD"/>
        </w:rPr>
        <w:t xml:space="preserve"> </w:t>
      </w:r>
      <w:r w:rsidR="00397F63" w:rsidRPr="0020789B">
        <w:rPr>
          <w:szCs w:val="24"/>
          <w:shd w:val="clear" w:color="auto" w:fill="FDFCFD"/>
        </w:rPr>
        <w:t>citastarp,</w:t>
      </w:r>
      <w:r w:rsidR="00541A65" w:rsidRPr="0020789B">
        <w:rPr>
          <w:szCs w:val="24"/>
          <w:shd w:val="clear" w:color="auto" w:fill="FDFCFD"/>
        </w:rPr>
        <w:t xml:space="preserve"> ir likumīga, ja vajadzīga, lai izpildītu uzdevumu sabiedrības interesēs. Ievērojot to, ka valsts amatpersonu radinieki nav saistāmi ar valsts budžeta līdzekļa izlietojumu, veicama datu subjekta (valsts amatpersonas radinieks/(-i)) tiesību līdzsvarošana ar sabiedrības interesēm, atspoguļojot pārliecinošus argumentus par nepieciešamību (vajadzību) ierobežot datu subjekta tiesības nolūkā veicināt sabiedrības uzticību valsts amatpersonu darbībai. Cita starpā atzīmējams, ka pārziņa pienākums ir nodrošināt personas datu apstrādes atbilstību </w:t>
      </w:r>
      <w:r w:rsidR="00B75021" w:rsidRPr="0020789B">
        <w:rPr>
          <w:szCs w:val="24"/>
          <w:shd w:val="clear" w:color="auto" w:fill="FDFCFD"/>
        </w:rPr>
        <w:t>Datu r</w:t>
      </w:r>
      <w:r w:rsidR="00541A65" w:rsidRPr="0020789B">
        <w:rPr>
          <w:szCs w:val="24"/>
          <w:shd w:val="clear" w:color="auto" w:fill="FDFCFD"/>
        </w:rPr>
        <w:t xml:space="preserve">egulas 5.panta 1.punktā noteiktajiem personas datu apstrādes principiem, tādejādi personas datu apstrādei jābūt ne tikai tiesiski pamatotai, bet vienlaikus jāatbilst </w:t>
      </w:r>
      <w:r w:rsidR="00B75021" w:rsidRPr="0020789B">
        <w:rPr>
          <w:szCs w:val="24"/>
          <w:shd w:val="clear" w:color="auto" w:fill="FDFCFD"/>
        </w:rPr>
        <w:t>Datu r</w:t>
      </w:r>
      <w:r w:rsidR="00541A65" w:rsidRPr="0020789B">
        <w:rPr>
          <w:szCs w:val="24"/>
          <w:shd w:val="clear" w:color="auto" w:fill="FDFCFD"/>
        </w:rPr>
        <w:t>egulas 5.panta 1.punkta personas datu apstrādes principos minētajiem nosacījumiem.</w:t>
      </w:r>
    </w:p>
    <w:p w14:paraId="76DC825F" w14:textId="67A15F7C" w:rsidR="00541A65" w:rsidRPr="0020789B" w:rsidRDefault="007357B8" w:rsidP="003F1360">
      <w:pPr>
        <w:ind w:firstLine="720"/>
        <w:rPr>
          <w:szCs w:val="24"/>
          <w:shd w:val="clear" w:color="auto" w:fill="FDFCFD"/>
        </w:rPr>
      </w:pPr>
      <w:r w:rsidRPr="0020789B">
        <w:rPr>
          <w:szCs w:val="24"/>
          <w:shd w:val="clear" w:color="auto" w:fill="FDFCFD"/>
        </w:rPr>
        <w:t>7</w:t>
      </w:r>
      <w:r w:rsidR="00541A65" w:rsidRPr="0020789B">
        <w:rPr>
          <w:szCs w:val="24"/>
          <w:shd w:val="clear" w:color="auto" w:fill="FDFCFD"/>
        </w:rPr>
        <w:t>. Atbilstoši plāna projekta</w:t>
      </w:r>
      <w:r w:rsidR="00B95FDD" w:rsidRPr="0020789B">
        <w:rPr>
          <w:szCs w:val="24"/>
          <w:shd w:val="clear" w:color="auto" w:fill="FDFCFD"/>
        </w:rPr>
        <w:t xml:space="preserve"> III sadaļas</w:t>
      </w:r>
      <w:r w:rsidR="00541A65" w:rsidRPr="0020789B">
        <w:rPr>
          <w:szCs w:val="24"/>
          <w:shd w:val="clear" w:color="auto" w:fill="FDFCFD"/>
        </w:rPr>
        <w:t xml:space="preserve"> 2.6.apakšpunktam nolūkā nodrošināt sabiedrības informētību par publiskas personas institūcijā strādājošajām valsts amatpersonām</w:t>
      </w:r>
      <w:r w:rsidR="00397F63" w:rsidRPr="0020789B">
        <w:rPr>
          <w:szCs w:val="24"/>
          <w:shd w:val="clear" w:color="auto" w:fill="FDFCFD"/>
        </w:rPr>
        <w:t>,</w:t>
      </w:r>
      <w:r w:rsidR="00541A65" w:rsidRPr="0020789B">
        <w:rPr>
          <w:szCs w:val="24"/>
          <w:shd w:val="clear" w:color="auto" w:fill="FDFCFD"/>
        </w:rPr>
        <w:t xml:space="preserve"> paredzēts izvērtēt iespēju tehniski un finansiāli nodrošināt VID rīcībā esošās informācijas (valsts amatpersonu saraksta) publicēšanu VID tīmekļvietnē mašīnlasāmā formā. Lai arī informācija par publiskas personas institūcijā strādājošām valsts amatpersonām jau pašlaik ir publiski pieejama, jāņem vērā, ka mašīnlasāma forma ļauj apstrādāt lielu datu apjomu, kā arī informācija mašīnlasāmā formā var tikt viegli izmantota vairākiem, no sākotnējās datu apstrādes atšķirīgiem nolūkiem (datu bāzu veidošana, profilēšana u.c.), tādejādi radot augstu risku personu tiesībām un brīvībām. Saistībā ar riskiem fizisku personu tiesībām un brīvībām atzīmējams, ka atbilstoši </w:t>
      </w:r>
      <w:r w:rsidR="00B75021" w:rsidRPr="0020789B">
        <w:rPr>
          <w:szCs w:val="24"/>
          <w:shd w:val="clear" w:color="auto" w:fill="FDFCFD"/>
        </w:rPr>
        <w:t xml:space="preserve">Datu </w:t>
      </w:r>
      <w:r w:rsidR="00541A65" w:rsidRPr="0020789B">
        <w:rPr>
          <w:szCs w:val="24"/>
          <w:shd w:val="clear" w:color="auto" w:fill="FDFCFD"/>
        </w:rPr>
        <w:t xml:space="preserve">regulas </w:t>
      </w:r>
      <w:r w:rsidR="00541A65" w:rsidRPr="0020789B">
        <w:rPr>
          <w:szCs w:val="24"/>
          <w:shd w:val="clear" w:color="auto" w:fill="FDFCFD"/>
        </w:rPr>
        <w:lastRenderedPageBreak/>
        <w:t xml:space="preserve">35.pantam, ja apstrādes veids, jo īpaši, izmantojot jaunās tehnoloģijas un ņemot vērā apstrādes raksturu, apjomu, kontekstu un nolūkus, varētu radīt augstu risku fizisku personu tiesībām un brīvībām, pārzinis pirms apstrādes veic novērtējumu par to, kā plānotās apstrādes darbības ietekmēs personas datu aizsardzību. Līdz ar to vērtējama ne tikai iespēja tehniski un finansiāli nodrošināt VID rīcībā esošās informācijas (valsts amatpersonu saraksta) publicēšanu VID tīmekļvietnē mašīnlasāmā formā, bet arī ietekme uz personas datu aizsardzību. Vienlaikus, ņemot vērā jau pastāvošo kārtību, kādā sabiedrība var iegūt informāciju par publiskas personas institūcijā strādājošām valsts amatpersonām, </w:t>
      </w:r>
      <w:r w:rsidR="005C179E" w:rsidRPr="0020789B">
        <w:rPr>
          <w:szCs w:val="24"/>
          <w:shd w:val="clear" w:color="auto" w:fill="FDFCFD"/>
        </w:rPr>
        <w:t>lūdzam</w:t>
      </w:r>
      <w:r w:rsidR="00541A65" w:rsidRPr="0020789B">
        <w:rPr>
          <w:szCs w:val="24"/>
          <w:shd w:val="clear" w:color="auto" w:fill="FDFCFD"/>
        </w:rPr>
        <w:t xml:space="preserve"> skaidrot mērķi un apsvērumus, kādi ir pamatā attiecīgajam pasākumam plāna projektā. </w:t>
      </w:r>
    </w:p>
    <w:p w14:paraId="148F731C" w14:textId="28B115D9" w:rsidR="00BF4512" w:rsidRPr="0020789B" w:rsidRDefault="007357B8" w:rsidP="003F1360">
      <w:pPr>
        <w:ind w:firstLine="720"/>
        <w:rPr>
          <w:szCs w:val="24"/>
          <w:shd w:val="clear" w:color="auto" w:fill="FFFFFF"/>
        </w:rPr>
      </w:pPr>
      <w:r w:rsidRPr="0020789B">
        <w:rPr>
          <w:szCs w:val="24"/>
          <w:shd w:val="clear" w:color="auto" w:fill="FDFCFD"/>
        </w:rPr>
        <w:t>8</w:t>
      </w:r>
      <w:r w:rsidR="00BF4512" w:rsidRPr="0020789B">
        <w:rPr>
          <w:szCs w:val="24"/>
          <w:shd w:val="clear" w:color="auto" w:fill="FDFCFD"/>
        </w:rPr>
        <w:t xml:space="preserve">. Plāna projekta III sadaļas 3.7.apakšpunktā ietvertais pasākums paredz izdarīt grozījumus normatīvajos aktos, </w:t>
      </w:r>
      <w:r w:rsidR="00BF4512" w:rsidRPr="0020789B">
        <w:rPr>
          <w:rFonts w:eastAsia="Times New Roman"/>
          <w:szCs w:val="24"/>
          <w:lang w:eastAsia="lv-LV"/>
        </w:rPr>
        <w:t xml:space="preserve">nodrošinot personai nekavētu savu normatīvajos aktos paredzēto tiesību īstenošanu attiecībā uz iepazīšanos ar iestādes ierobežotas pieejamības informācijas sarakstu, normatīvajos aktos nosakot pienākumu iestāžu tīmekļvietnēs publicēt iestādes ierobežotas pieejamības informācijas sarakstu. Vēršam uzmanību, ka Tieslietu ministrija neatbalsta šāda uzdevuma iekļaušanu plāna projektā un lūdz to svītrot. Informācijas atklātības likuma 9.panta trešā daļa nosaka, ka </w:t>
      </w:r>
      <w:r w:rsidR="00BF4512" w:rsidRPr="0020789B">
        <w:rPr>
          <w:szCs w:val="24"/>
          <w:shd w:val="clear" w:color="auto" w:fill="FFFFFF"/>
        </w:rPr>
        <w:t>personai ir tiesības iepazīties ar iestādes ierobežotas pieejamības informācijas sarakstu, kurā iekļauj informācijas veidus, tēmas, atsevišķus dokumentus un to veidus. Līdz ar to, ja persona vēlas, tai ir iespēja ar šādu iestādes izveidotu sarakstu iepazīties, un Tieslietu ministrijas ieskatā to nav nepieciešams publicēt iestādes tīmekļvietnē.</w:t>
      </w:r>
    </w:p>
    <w:p w14:paraId="1048A4DC" w14:textId="398DEC7F" w:rsidR="00397F63" w:rsidRPr="0020789B" w:rsidRDefault="00397F63" w:rsidP="00397F63">
      <w:pPr>
        <w:ind w:firstLine="720"/>
        <w:rPr>
          <w:szCs w:val="24"/>
          <w:shd w:val="clear" w:color="auto" w:fill="FDFCFD"/>
        </w:rPr>
      </w:pPr>
      <w:r w:rsidRPr="0020789B">
        <w:rPr>
          <w:szCs w:val="24"/>
          <w:shd w:val="clear" w:color="auto" w:fill="FDFCFD"/>
        </w:rPr>
        <w:t xml:space="preserve">9. Plāna projekta III sadaļas 4.4.apakšpunktā ietvertais pasākums paredz </w:t>
      </w:r>
      <w:r w:rsidRPr="0020789B">
        <w:rPr>
          <w:rFonts w:eastAsia="Times New Roman"/>
          <w:szCs w:val="24"/>
          <w:lang w:eastAsia="lv-LV"/>
        </w:rPr>
        <w:t xml:space="preserve">nodrošināt publiskas personas institūciju dibināto biedrību un nodibinājumu darbības caurskatāmību. Norādām, ka pašreiz </w:t>
      </w:r>
      <w:r w:rsidRPr="0020789B">
        <w:rPr>
          <w:bdr w:val="none" w:sz="0" w:space="0" w:color="auto" w:frame="1"/>
          <w:shd w:val="clear" w:color="auto" w:fill="FFFFFF"/>
        </w:rPr>
        <w:t xml:space="preserve">norit darbs pie likumprojekta "Grozījumi Biedrību un nodibinājumu likumā" izstrādes atbilstoši “Pasākumu plāna noziedzīgi iegūtu līdzekļu legalizācijas, terorisma un </w:t>
      </w:r>
      <w:proofErr w:type="spellStart"/>
      <w:r w:rsidRPr="0020789B">
        <w:rPr>
          <w:bdr w:val="none" w:sz="0" w:space="0" w:color="auto" w:frame="1"/>
          <w:shd w:val="clear" w:color="auto" w:fill="FFFFFF"/>
        </w:rPr>
        <w:t>proliferācijas</w:t>
      </w:r>
      <w:proofErr w:type="spellEnd"/>
      <w:r w:rsidRPr="0020789B">
        <w:rPr>
          <w:bdr w:val="none" w:sz="0" w:space="0" w:color="auto" w:frame="1"/>
          <w:shd w:val="clear" w:color="auto" w:fill="FFFFFF"/>
        </w:rPr>
        <w:t xml:space="preserve"> finansēšanas novēršanai laikposmam no 2020. līdz 2022. gadam” 5.3. punktam, kas paredz pārskatīt biedrību un nodibinājumu klasifikāciju, kā arī veikt biedrību un nodibinājumu vienkāršoto likvidāciju. Līdz ar to, kad tiks ieviestas šīs izmaiņas un izvērtēta ietekme uz nevalstisko organizāciju sektoru, būs iespējams  izvērtēt, vai ir nepieciešami arī citi pasākumi nevalstiskā organizāciju sektora sakārtošanai, tai skaitā, kas skar publisko biedrību un nodibinājumu darbību. Ņemot vērā minēto, lūdzam svītrot šo pasākumu no plāna projekta.</w:t>
      </w:r>
    </w:p>
    <w:p w14:paraId="4F173289" w14:textId="475E9148" w:rsidR="005124FD" w:rsidRPr="0020789B" w:rsidRDefault="00397F63" w:rsidP="00397F63">
      <w:pPr>
        <w:ind w:firstLine="720"/>
        <w:rPr>
          <w:szCs w:val="24"/>
          <w:shd w:val="clear" w:color="auto" w:fill="FDFCFD"/>
        </w:rPr>
      </w:pPr>
      <w:r w:rsidRPr="0020789B">
        <w:rPr>
          <w:szCs w:val="24"/>
          <w:shd w:val="clear" w:color="auto" w:fill="FFFFFF"/>
        </w:rPr>
        <w:t>10</w:t>
      </w:r>
      <w:r w:rsidR="005124FD" w:rsidRPr="0020789B">
        <w:rPr>
          <w:szCs w:val="24"/>
          <w:shd w:val="clear" w:color="auto" w:fill="FFFFFF"/>
        </w:rPr>
        <w:t xml:space="preserve">. Plāna projekta III sadaļas 7.2.apakšpunktā ietverts uzdevums Tieslietu ministrijai sagatavot informatīvo ziņojumu, kurā būtu </w:t>
      </w:r>
      <w:r w:rsidR="005124FD" w:rsidRPr="0020789B">
        <w:rPr>
          <w:rFonts w:eastAsia="Times New Roman"/>
          <w:szCs w:val="24"/>
          <w:lang w:eastAsia="lv-LV"/>
        </w:rPr>
        <w:t>izvērtēta nepieciešamība un iespējas nodrošināt, ka iestādes izdoto administratīvo aktu par atteikumu sniegt informāciju vai izpildīt informācijas pieprasījumu, kā arī faktisko rīcību, kas izpaudusies kā informācijas nesniegšana vai nepienācīga sniegšana, var apstrīdēt pirmstiesas institūcijā (</w:t>
      </w:r>
      <w:r w:rsidR="005124FD" w:rsidRPr="0020789B">
        <w:rPr>
          <w:szCs w:val="24"/>
          <w:lang w:eastAsia="lv-LV"/>
        </w:rPr>
        <w:t>specializētas institūcijas izveide vai pastāvošas institūcijas pilnvarošana informācijas atklātības uzraudzības jomā</w:t>
      </w:r>
      <w:r w:rsidR="005124FD" w:rsidRPr="0020789B">
        <w:rPr>
          <w:rFonts w:eastAsia="Times New Roman"/>
          <w:szCs w:val="24"/>
          <w:lang w:eastAsia="lv-LV"/>
        </w:rPr>
        <w:t xml:space="preserve">). Norādām, ka neatbalstām šāda pasākuma iekļaušanu plāna projektā un lūdzam to svītrot. Nav saprotama šāda uzdevuma nepieciešamība, jo jau šobrīd atbilstoši gan Informācijas atklātības likumam, gan Administratīvā procesa likumam tiek nodrošināts pilnvērtīgs iestādes izdoto administratīvo aktu un faktiskās rīcības apstrīdēšanas un pārsūdzēšanas process. Ir izveidojusies arī iestāžu un tiesu prakse šajos jautājumos, turklāt jaunas institūcijas izveide būtu pretrunā ar plāniem </w:t>
      </w:r>
      <w:proofErr w:type="spellStart"/>
      <w:r w:rsidR="005124FD" w:rsidRPr="0020789B">
        <w:rPr>
          <w:rFonts w:eastAsia="Times New Roman"/>
          <w:szCs w:val="24"/>
          <w:lang w:eastAsia="lv-LV"/>
        </w:rPr>
        <w:t>efektivizēt</w:t>
      </w:r>
      <w:proofErr w:type="spellEnd"/>
      <w:r w:rsidR="005124FD" w:rsidRPr="0020789B">
        <w:rPr>
          <w:rFonts w:eastAsia="Times New Roman"/>
          <w:szCs w:val="24"/>
          <w:lang w:eastAsia="lv-LV"/>
        </w:rPr>
        <w:t xml:space="preserve"> valsts pārvaldi.</w:t>
      </w:r>
    </w:p>
    <w:p w14:paraId="11FDFC24" w14:textId="4EA14662" w:rsidR="00541A65" w:rsidRPr="0020789B" w:rsidRDefault="007357B8" w:rsidP="003F1360">
      <w:pPr>
        <w:ind w:firstLine="720"/>
        <w:rPr>
          <w:szCs w:val="24"/>
        </w:rPr>
      </w:pPr>
      <w:r w:rsidRPr="0020789B">
        <w:rPr>
          <w:szCs w:val="24"/>
          <w:shd w:val="clear" w:color="auto" w:fill="FDFCFD"/>
        </w:rPr>
        <w:t>11</w:t>
      </w:r>
      <w:r w:rsidR="00541A65" w:rsidRPr="0020789B">
        <w:rPr>
          <w:szCs w:val="24"/>
          <w:shd w:val="clear" w:color="auto" w:fill="FDFCFD"/>
        </w:rPr>
        <w:t>. Plāna projekta</w:t>
      </w:r>
      <w:r w:rsidR="00B95FDD" w:rsidRPr="0020789B">
        <w:rPr>
          <w:szCs w:val="24"/>
          <w:shd w:val="clear" w:color="auto" w:fill="FDFCFD"/>
        </w:rPr>
        <w:t xml:space="preserve"> III sadaļas</w:t>
      </w:r>
      <w:r w:rsidR="00541A65" w:rsidRPr="0020789B">
        <w:rPr>
          <w:szCs w:val="24"/>
          <w:shd w:val="clear" w:color="auto" w:fill="FDFCFD"/>
        </w:rPr>
        <w:t xml:space="preserve"> 9.1.apakšpunktā paredzētais pasākums ietver pastāvīgu sabiedrības informētīb</w:t>
      </w:r>
      <w:r w:rsidR="00AE0499" w:rsidRPr="0020789B">
        <w:rPr>
          <w:szCs w:val="24"/>
          <w:shd w:val="clear" w:color="auto" w:fill="FDFCFD"/>
        </w:rPr>
        <w:t>u</w:t>
      </w:r>
      <w:r w:rsidR="00541A65" w:rsidRPr="0020789B">
        <w:rPr>
          <w:szCs w:val="24"/>
          <w:shd w:val="clear" w:color="auto" w:fill="FDFCFD"/>
        </w:rPr>
        <w:t xml:space="preserve"> par valsts amatpersonām piemērotajiem sodiem par noziedzīgiem nodarījumiem valsts institūciju dienestā, kā arī to izdarīto pārkāpuma saturu uzturēšanu, veidojot sabiedrības apziņu par sodu neizbēgamību un vienlaikus atturot valsts amatpersonas no iespējamas iesaistīšanās prettiesiskās darbībās. Attiecīgajam pasākumam noteikts darbības rezultāts, saskaņā ar kuru tiek veikti sabiedrības informēšanas pasākumi par sodītajām valsts amatpersonām, pastāvīgi </w:t>
      </w:r>
      <w:proofErr w:type="spellStart"/>
      <w:r w:rsidR="00541A65" w:rsidRPr="0020789B">
        <w:rPr>
          <w:szCs w:val="24"/>
          <w:shd w:val="clear" w:color="auto" w:fill="FDFCFD"/>
        </w:rPr>
        <w:t>monitorējot</w:t>
      </w:r>
      <w:proofErr w:type="spellEnd"/>
      <w:r w:rsidR="00541A65" w:rsidRPr="0020789B">
        <w:rPr>
          <w:szCs w:val="24"/>
          <w:shd w:val="clear" w:color="auto" w:fill="FDFCFD"/>
        </w:rPr>
        <w:t xml:space="preserve"> kriminālvajāšanai nosūtīto kriminālprocesu iztiesāšanas procesu un spēkā stājušos spriedumus, savukārt kā rezultatīvais rādītājs norādīta publiskota informācija izmeklēšanas iestāžu tīmekļvietnēs. Plāna projektā par 9.1.apakšpunktā minētā pasākuma izpildi atbildīgās institūcijas noteiktas visas izmeklēšanas iestādes. </w:t>
      </w:r>
      <w:r w:rsidR="005C179E" w:rsidRPr="0020789B">
        <w:rPr>
          <w:szCs w:val="24"/>
          <w:shd w:val="clear" w:color="auto" w:fill="FDFCFD"/>
        </w:rPr>
        <w:t>Vēršam</w:t>
      </w:r>
      <w:r w:rsidR="00541A65" w:rsidRPr="0020789B">
        <w:rPr>
          <w:szCs w:val="24"/>
          <w:shd w:val="clear" w:color="auto" w:fill="FDFCFD"/>
        </w:rPr>
        <w:t xml:space="preserve"> uzmanību, ka pasākuma plāns neprecizē, kādu informāciju paredzēts publiskot izmeklēšanas iestāžu tīmekļvietnēs. No plāna projekta 9.1.apakšpunkta nav iespējams secināt, vai publikācijas saturēs personas datus vai tā </w:t>
      </w:r>
      <w:r w:rsidR="00541A65" w:rsidRPr="0020789B">
        <w:rPr>
          <w:szCs w:val="24"/>
          <w:shd w:val="clear" w:color="auto" w:fill="FDFCFD"/>
        </w:rPr>
        <w:lastRenderedPageBreak/>
        <w:t xml:space="preserve">iecerēta kā vispārīga, informatīva publikācija, kurā nebūs ziņas par identificētām vai identificējamām fiziskām personām. Turklāt no 9.1.apakšpunkta nav skaidrs, kā notiek kriminālvajāšanai nosūtīto kriminālprocesu iztiesāšanas procesa “monitorings”, t.i., katra izmeklēšanas iestāde atsevišķi veic “monitoringu” un tad publicē informāciju tās tīmekļvietnē, vai plānota informācijas apmaiņa ar citām atbildīgajām institūcijām jautājumā par “monitoringa” rezultātiem. Un, ja plānota šāda informācijas apmaiņa, vai tā saturēs personas datus, proti, vai notiks personas datu nodošana. Atzīmējams, ka personas datu apstrādi kriminālprocesā reglamentē likums </w:t>
      </w:r>
      <w:r w:rsidR="00AE0499" w:rsidRPr="0020789B">
        <w:rPr>
          <w:szCs w:val="24"/>
          <w:shd w:val="clear" w:color="auto" w:fill="FDFCFD"/>
        </w:rPr>
        <w:t>"</w:t>
      </w:r>
      <w:r w:rsidR="00541A65" w:rsidRPr="0020789B">
        <w:rPr>
          <w:szCs w:val="24"/>
          <w:shd w:val="clear" w:color="auto" w:fill="FDFCFD"/>
        </w:rPr>
        <w:t>Par fizisko personu datu apstrādi kriminālprocesā un administratīvā procesā</w:t>
      </w:r>
      <w:r w:rsidR="00AE0499" w:rsidRPr="0020789B">
        <w:rPr>
          <w:szCs w:val="24"/>
          <w:shd w:val="clear" w:color="auto" w:fill="FDFCFD"/>
        </w:rPr>
        <w:t>"</w:t>
      </w:r>
      <w:r w:rsidR="00541A65" w:rsidRPr="0020789B">
        <w:rPr>
          <w:szCs w:val="24"/>
          <w:shd w:val="clear" w:color="auto" w:fill="FDFCFD"/>
        </w:rPr>
        <w:t xml:space="preserve"> (turpmāk </w:t>
      </w:r>
      <w:r w:rsidR="00AE0499" w:rsidRPr="0020789B">
        <w:rPr>
          <w:szCs w:val="24"/>
          <w:shd w:val="clear" w:color="auto" w:fill="FDFCFD"/>
        </w:rPr>
        <w:t>- Tiesībaizsardzības direktīvas likums</w:t>
      </w:r>
      <w:r w:rsidR="00541A65" w:rsidRPr="0020789B">
        <w:rPr>
          <w:szCs w:val="24"/>
          <w:shd w:val="clear" w:color="auto" w:fill="FDFCFD"/>
        </w:rPr>
        <w:t xml:space="preserve">). Saskaņā ar </w:t>
      </w:r>
      <w:r w:rsidR="00AE0499" w:rsidRPr="0020789B">
        <w:rPr>
          <w:szCs w:val="24"/>
          <w:shd w:val="clear" w:color="auto" w:fill="FDFCFD"/>
        </w:rPr>
        <w:t>Tiesībaizsardzības direktīvas likuma</w:t>
      </w:r>
      <w:r w:rsidR="00541A65" w:rsidRPr="0020789B">
        <w:rPr>
          <w:szCs w:val="24"/>
          <w:shd w:val="clear" w:color="auto" w:fill="FDFCFD"/>
        </w:rPr>
        <w:t xml:space="preserve"> 2.pantu kompetentās iestādes apstrādā personas datus, lai novērstu, izmeklētu un atklātu noziedzīgus nodarījumus; piemērotu un izpildītu kriminālsodus un administratīvos sodus; veiktu citas ar administratīvā pārkāpuma procesu vai kriminālprocesu saistītās darbības, tostarp piemērotu procesuālos piespiedu līdzekļus, nodrošinātu to personu uzraudzību, kuras nosacīti atbrīvotas no kriminālatbildības, procesa par noziedzīgi iegūtu mantu, procesa par medicīniska rakstura piespiedu līdzekļiem, procesa par audzinoša rakstura piespiedu līdzekļiem, procesa par piespiedu ietekmēšanas līdzekļiem juridiskām personām, procesa par spēkā esošu nolēmumu jaunu izskatīšanas norisi un to ietvaros pieņemto lēmuma izpildi. </w:t>
      </w:r>
      <w:r w:rsidR="00AE0499" w:rsidRPr="0020789B">
        <w:rPr>
          <w:szCs w:val="24"/>
          <w:shd w:val="clear" w:color="auto" w:fill="FDFCFD"/>
        </w:rPr>
        <w:t>Tiesībaizsardzības direktīvas likuma</w:t>
      </w:r>
      <w:r w:rsidR="00541A65" w:rsidRPr="0020789B">
        <w:rPr>
          <w:szCs w:val="24"/>
          <w:shd w:val="clear" w:color="auto" w:fill="FDFCFD"/>
        </w:rPr>
        <w:t xml:space="preserve"> 3.panta trešajā daļā paskaidrots, ka </w:t>
      </w:r>
      <w:r w:rsidR="00AE0499" w:rsidRPr="0020789B">
        <w:rPr>
          <w:szCs w:val="24"/>
          <w:shd w:val="clear" w:color="auto" w:fill="FDFCFD"/>
        </w:rPr>
        <w:t>šā l</w:t>
      </w:r>
      <w:r w:rsidR="00541A65" w:rsidRPr="0020789B">
        <w:rPr>
          <w:szCs w:val="24"/>
          <w:shd w:val="clear" w:color="auto" w:fill="FDFCFD"/>
        </w:rPr>
        <w:t xml:space="preserve">ikuma normas nepiemēro personas datu apstrādei, ko veic kompetentā iestāde citos, </w:t>
      </w:r>
      <w:r w:rsidR="00AE0499" w:rsidRPr="0020789B">
        <w:rPr>
          <w:szCs w:val="24"/>
          <w:shd w:val="clear" w:color="auto" w:fill="FDFCFD"/>
        </w:rPr>
        <w:t>šā l</w:t>
      </w:r>
      <w:r w:rsidR="00541A65" w:rsidRPr="0020789B">
        <w:rPr>
          <w:szCs w:val="24"/>
          <w:shd w:val="clear" w:color="auto" w:fill="FDFCFD"/>
        </w:rPr>
        <w:t xml:space="preserve">ikuma 2.pantā neminētajos gadījumos, atzīmējot, ka šādai personas datu apstrādei tiek piemērota </w:t>
      </w:r>
      <w:r w:rsidR="00044B2A" w:rsidRPr="0020789B">
        <w:rPr>
          <w:szCs w:val="24"/>
          <w:shd w:val="clear" w:color="auto" w:fill="FDFCFD"/>
        </w:rPr>
        <w:t>D</w:t>
      </w:r>
      <w:r w:rsidR="00541A65" w:rsidRPr="0020789B">
        <w:rPr>
          <w:szCs w:val="24"/>
          <w:shd w:val="clear" w:color="auto" w:fill="FDFCFD"/>
        </w:rPr>
        <w:t xml:space="preserve">atu regula. </w:t>
      </w:r>
      <w:r w:rsidR="00AE0499" w:rsidRPr="0020789B">
        <w:rPr>
          <w:szCs w:val="24"/>
          <w:shd w:val="clear" w:color="auto" w:fill="FDFCFD"/>
        </w:rPr>
        <w:t>Tiesībaizsardzības direktīvas likuma</w:t>
      </w:r>
      <w:r w:rsidR="00541A65" w:rsidRPr="0020789B">
        <w:rPr>
          <w:szCs w:val="24"/>
          <w:shd w:val="clear" w:color="auto" w:fill="FDFCFD"/>
        </w:rPr>
        <w:t xml:space="preserve"> anotācijā uzsvērts, ka </w:t>
      </w:r>
      <w:r w:rsidR="00AE0499" w:rsidRPr="0020789B">
        <w:rPr>
          <w:szCs w:val="24"/>
          <w:shd w:val="clear" w:color="auto" w:fill="FDFCFD"/>
        </w:rPr>
        <w:t>šo l</w:t>
      </w:r>
      <w:r w:rsidR="00541A65" w:rsidRPr="0020789B">
        <w:rPr>
          <w:szCs w:val="24"/>
          <w:shd w:val="clear" w:color="auto" w:fill="FDFCFD"/>
        </w:rPr>
        <w:t xml:space="preserve">ikumu nepiemēro kompetento iestāžu veiktajai personas datu apstrādei, ja tā netiek veikta </w:t>
      </w:r>
      <w:r w:rsidR="00AE0499" w:rsidRPr="0020789B">
        <w:rPr>
          <w:szCs w:val="24"/>
          <w:shd w:val="clear" w:color="auto" w:fill="FDFCFD"/>
        </w:rPr>
        <w:t>šā l</w:t>
      </w:r>
      <w:r w:rsidR="00541A65" w:rsidRPr="0020789B">
        <w:rPr>
          <w:szCs w:val="24"/>
          <w:shd w:val="clear" w:color="auto" w:fill="FDFCFD"/>
        </w:rPr>
        <w:t>ikuma 2.pantā izsmeļoši uzskaitītajos nolūkos. Kriminālprocesa iztiesāšanas procesa “</w:t>
      </w:r>
      <w:proofErr w:type="spellStart"/>
      <w:r w:rsidR="00541A65" w:rsidRPr="0020789B">
        <w:rPr>
          <w:szCs w:val="24"/>
          <w:shd w:val="clear" w:color="auto" w:fill="FDFCFD"/>
        </w:rPr>
        <w:t>monitorēšana</w:t>
      </w:r>
      <w:proofErr w:type="spellEnd"/>
      <w:r w:rsidR="00541A65" w:rsidRPr="0020789B">
        <w:rPr>
          <w:szCs w:val="24"/>
          <w:shd w:val="clear" w:color="auto" w:fill="FDFCFD"/>
        </w:rPr>
        <w:t xml:space="preserve">”, kā arī sabiedrības informēšana neatbilst nevienam no </w:t>
      </w:r>
      <w:r w:rsidR="00AE0499" w:rsidRPr="0020789B">
        <w:rPr>
          <w:szCs w:val="24"/>
          <w:shd w:val="clear" w:color="auto" w:fill="FDFCFD"/>
        </w:rPr>
        <w:t>Tiesībaizsardzības direktīvas likuma</w:t>
      </w:r>
      <w:r w:rsidR="00541A65" w:rsidRPr="0020789B">
        <w:rPr>
          <w:szCs w:val="24"/>
          <w:shd w:val="clear" w:color="auto" w:fill="FDFCFD"/>
        </w:rPr>
        <w:t xml:space="preserve"> 2.pantā izsmeļoši uzskaitītajiem nolūkiem, līdz ar to šāda apstrāde pakļaujas </w:t>
      </w:r>
      <w:r w:rsidR="00B75021" w:rsidRPr="0020789B">
        <w:rPr>
          <w:szCs w:val="24"/>
          <w:shd w:val="clear" w:color="auto" w:fill="FDFCFD"/>
        </w:rPr>
        <w:t>D</w:t>
      </w:r>
      <w:r w:rsidR="00541A65" w:rsidRPr="0020789B">
        <w:rPr>
          <w:szCs w:val="24"/>
          <w:shd w:val="clear" w:color="auto" w:fill="FDFCFD"/>
        </w:rPr>
        <w:t>atu regulas noteikumiem. Attiecībā uz valsts institūciju īstenoto personas datu apstrādi iespējams piemērot</w:t>
      </w:r>
      <w:r w:rsidR="00B75021" w:rsidRPr="0020789B">
        <w:rPr>
          <w:szCs w:val="24"/>
          <w:shd w:val="clear" w:color="auto" w:fill="FDFCFD"/>
        </w:rPr>
        <w:t xml:space="preserve"> Datu</w:t>
      </w:r>
      <w:r w:rsidR="00541A65" w:rsidRPr="0020789B">
        <w:rPr>
          <w:szCs w:val="24"/>
          <w:shd w:val="clear" w:color="auto" w:fill="FDFCFD"/>
        </w:rPr>
        <w:t xml:space="preserve"> </w:t>
      </w:r>
      <w:r w:rsidR="00B75021" w:rsidRPr="0020789B">
        <w:rPr>
          <w:szCs w:val="24"/>
          <w:shd w:val="clear" w:color="auto" w:fill="FDFCFD"/>
        </w:rPr>
        <w:t>r</w:t>
      </w:r>
      <w:r w:rsidR="00541A65" w:rsidRPr="0020789B">
        <w:rPr>
          <w:szCs w:val="24"/>
          <w:shd w:val="clear" w:color="auto" w:fill="FDFCFD"/>
        </w:rPr>
        <w:t xml:space="preserve">egulas 6.panta 1.punkta “c” un/vai “e” apakšpunktos minētos tiesiskos pamatus. Atbilstoši </w:t>
      </w:r>
      <w:r w:rsidR="00B75021" w:rsidRPr="0020789B">
        <w:rPr>
          <w:szCs w:val="24"/>
          <w:shd w:val="clear" w:color="auto" w:fill="FDFCFD"/>
        </w:rPr>
        <w:t>Datu r</w:t>
      </w:r>
      <w:r w:rsidR="00541A65" w:rsidRPr="0020789B">
        <w:rPr>
          <w:szCs w:val="24"/>
          <w:shd w:val="clear" w:color="auto" w:fill="FDFCFD"/>
        </w:rPr>
        <w:t xml:space="preserve">egulas 6.panta 3.punktam minētā panta 1.punkta “c” un “e” apakšpunktā norādītos tiesiskos pamatus nosaka ar Savienības vai dalībvalsts tiesību aktiem, t.i., personas datu apstrāde tiek reglamentēta ar normatīvo aktu. Jāatgādina, ka atbilstoši </w:t>
      </w:r>
      <w:r w:rsidR="00B75021" w:rsidRPr="0020789B">
        <w:rPr>
          <w:szCs w:val="24"/>
          <w:shd w:val="clear" w:color="auto" w:fill="FDFCFD"/>
        </w:rPr>
        <w:t>Datu r</w:t>
      </w:r>
      <w:r w:rsidR="00541A65" w:rsidRPr="0020789B">
        <w:rPr>
          <w:szCs w:val="24"/>
          <w:shd w:val="clear" w:color="auto" w:fill="FDFCFD"/>
        </w:rPr>
        <w:t>egulas 4.panta 2.punktam ar jēdzienu (personas datu) “apstrāde” saprot jebkuru ar personas datiem vai personas datu kopumiem veiktu darbību vai darbību kopumu, ko veic ar vai bez automatizētiem līdzekļiem, piemēram, vākšanu, reģistrāciju, organizēšanu, strukturēšanu, glabāšanu, pielāgošanu, aplūkošanu un citas darbības, tādejādi arīdzan kriminālprocesu iztiesāšanas procesu “</w:t>
      </w:r>
      <w:proofErr w:type="spellStart"/>
      <w:r w:rsidR="00541A65" w:rsidRPr="0020789B">
        <w:rPr>
          <w:szCs w:val="24"/>
          <w:shd w:val="clear" w:color="auto" w:fill="FDFCFD"/>
        </w:rPr>
        <w:t>monitorēšana</w:t>
      </w:r>
      <w:proofErr w:type="spellEnd"/>
      <w:r w:rsidR="00541A65" w:rsidRPr="0020789B">
        <w:rPr>
          <w:szCs w:val="24"/>
          <w:shd w:val="clear" w:color="auto" w:fill="FDFCFD"/>
        </w:rPr>
        <w:t xml:space="preserve">”, ja tā ietver personas datu apstrādi, ietilpst </w:t>
      </w:r>
      <w:r w:rsidR="007F6DA6" w:rsidRPr="0020789B">
        <w:rPr>
          <w:szCs w:val="24"/>
          <w:shd w:val="clear" w:color="auto" w:fill="FDFCFD"/>
        </w:rPr>
        <w:t xml:space="preserve">Datu </w:t>
      </w:r>
      <w:r w:rsidR="00B75021" w:rsidRPr="0020789B">
        <w:rPr>
          <w:szCs w:val="24"/>
          <w:shd w:val="clear" w:color="auto" w:fill="FDFCFD"/>
        </w:rPr>
        <w:t>r</w:t>
      </w:r>
      <w:r w:rsidR="00541A65" w:rsidRPr="0020789B">
        <w:rPr>
          <w:szCs w:val="24"/>
          <w:shd w:val="clear" w:color="auto" w:fill="FDFCFD"/>
        </w:rPr>
        <w:t>egulas tvērumā. Ievērojot, ka izmeklēšanas iestāžu “</w:t>
      </w:r>
      <w:proofErr w:type="spellStart"/>
      <w:r w:rsidR="00541A65" w:rsidRPr="0020789B">
        <w:rPr>
          <w:szCs w:val="24"/>
          <w:shd w:val="clear" w:color="auto" w:fill="FDFCFD"/>
        </w:rPr>
        <w:t>monitorēšanai</w:t>
      </w:r>
      <w:proofErr w:type="spellEnd"/>
      <w:r w:rsidR="00541A65" w:rsidRPr="0020789B">
        <w:rPr>
          <w:szCs w:val="24"/>
          <w:shd w:val="clear" w:color="auto" w:fill="FDFCFD"/>
        </w:rPr>
        <w:t xml:space="preserve">” tiek pakļauti kriminālprocesa iztiesāšanas procesi saistībā ar valsts amatpersonu pārkāpumiem, prezumējams, ka pēc noteiktiem kritērijiem tiek veikta lietu atlase, tostarp valsts amatpersonu personas datu apstrāde. Kā jau iepriekš minēts, būtiski ir noskaidrot, vai informācijas apstrāde par kriminālprocesa iztiesāšanas procesu saistībā ar valsts amatpersonu pārkāpumiem notiek tikai katras atsevišķas izmeklēšanas iestādes ietvaros. </w:t>
      </w:r>
      <w:r w:rsidR="005C179E" w:rsidRPr="0020789B">
        <w:rPr>
          <w:szCs w:val="24"/>
          <w:shd w:val="clear" w:color="auto" w:fill="FDFCFD"/>
        </w:rPr>
        <w:t>P</w:t>
      </w:r>
      <w:r w:rsidR="00541A65" w:rsidRPr="0020789B">
        <w:rPr>
          <w:szCs w:val="24"/>
          <w:shd w:val="clear" w:color="auto" w:fill="FDFCFD"/>
        </w:rPr>
        <w:t xml:space="preserve">atlaban likuma </w:t>
      </w:r>
      <w:r w:rsidR="005C179E" w:rsidRPr="0020789B">
        <w:rPr>
          <w:szCs w:val="24"/>
          <w:shd w:val="clear" w:color="auto" w:fill="FDFCFD"/>
        </w:rPr>
        <w:t>"</w:t>
      </w:r>
      <w:r w:rsidR="00541A65" w:rsidRPr="0020789B">
        <w:rPr>
          <w:szCs w:val="24"/>
          <w:shd w:val="clear" w:color="auto" w:fill="FDFCFD"/>
        </w:rPr>
        <w:t>Par interešu konflikta novēršanu valsts amatpersonu darbībā</w:t>
      </w:r>
      <w:r w:rsidR="005C179E" w:rsidRPr="0020789B">
        <w:rPr>
          <w:szCs w:val="24"/>
          <w:shd w:val="clear" w:color="auto" w:fill="FDFCFD"/>
        </w:rPr>
        <w:t>"</w:t>
      </w:r>
      <w:r w:rsidR="00541A65" w:rsidRPr="0020789B">
        <w:rPr>
          <w:szCs w:val="24"/>
          <w:shd w:val="clear" w:color="auto" w:fill="FDFCFD"/>
        </w:rPr>
        <w:t xml:space="preserve"> 31.panta pirmajā, otrajā un trešajā daļā paredzēts pienākums Korupcijas novēršanas un apkarošanas birojam, Valsts ieņēmumu dienestam, Satversmes tiesai, Tiesnešu </w:t>
      </w:r>
      <w:proofErr w:type="spellStart"/>
      <w:r w:rsidR="00541A65" w:rsidRPr="0020789B">
        <w:rPr>
          <w:szCs w:val="24"/>
          <w:shd w:val="clear" w:color="auto" w:fill="FDFCFD"/>
        </w:rPr>
        <w:t>disciplinārkolēģijai</w:t>
      </w:r>
      <w:proofErr w:type="spellEnd"/>
      <w:r w:rsidR="00541A65" w:rsidRPr="0020789B">
        <w:rPr>
          <w:szCs w:val="24"/>
          <w:shd w:val="clear" w:color="auto" w:fill="FDFCFD"/>
        </w:rPr>
        <w:t xml:space="preserve"> vai </w:t>
      </w:r>
      <w:proofErr w:type="spellStart"/>
      <w:r w:rsidR="00541A65" w:rsidRPr="0020789B">
        <w:rPr>
          <w:szCs w:val="24"/>
          <w:shd w:val="clear" w:color="auto" w:fill="FDFCFD"/>
        </w:rPr>
        <w:t>Disciplinārtiesai</w:t>
      </w:r>
      <w:proofErr w:type="spellEnd"/>
      <w:r w:rsidR="00541A65" w:rsidRPr="0020789B">
        <w:rPr>
          <w:szCs w:val="24"/>
          <w:shd w:val="clear" w:color="auto" w:fill="FDFCFD"/>
        </w:rPr>
        <w:t xml:space="preserve">, Ģenerālprokuratūrai un Ministru prezidentam informēt sabiedrību par valsts amatpersonu darbībā konstatētajiem minētā likuma pārkāpumiem. Atbilstoši attiecīgā panta ceturtajai daļai šo institūciju tīmekļvietnēs publicējama informācija par valsts amatpersonas vārdu, uzvārdu un ieņemamo amatu; šā likuma tiesību normu, kas pārkāpta; pārkāpuma būtību un tā izdarīšanas laiku; pieņemto lēmumu (nolēmumu) un pieņemtā lēmuma (nolēmuma) spēkā stāšanās un izpildes datumu. Likumā </w:t>
      </w:r>
      <w:r w:rsidR="005C179E" w:rsidRPr="0020789B">
        <w:rPr>
          <w:szCs w:val="24"/>
          <w:shd w:val="clear" w:color="auto" w:fill="FDFCFD"/>
        </w:rPr>
        <w:t>"</w:t>
      </w:r>
      <w:r w:rsidR="00541A65" w:rsidRPr="0020789B">
        <w:rPr>
          <w:szCs w:val="24"/>
          <w:shd w:val="clear" w:color="auto" w:fill="FDFCFD"/>
        </w:rPr>
        <w:t>Par interešu konflikta novēršanu valsts amatpersonu darbībā</w:t>
      </w:r>
      <w:r w:rsidR="005C179E" w:rsidRPr="0020789B">
        <w:rPr>
          <w:szCs w:val="24"/>
          <w:shd w:val="clear" w:color="auto" w:fill="FDFCFD"/>
        </w:rPr>
        <w:t>"</w:t>
      </w:r>
      <w:r w:rsidR="00541A65" w:rsidRPr="0020789B">
        <w:rPr>
          <w:szCs w:val="24"/>
          <w:shd w:val="clear" w:color="auto" w:fill="FDFCFD"/>
        </w:rPr>
        <w:t xml:space="preserve"> paredzēta administratīvā atbildība par tā normu neievērošanu, attiecīgi sabiedrībai tiek sniegta informācija par valsts amatpersonai piemērotajiem sodiem administratīvā pārkāpuma procesa ietvaros. Tomēr </w:t>
      </w:r>
      <w:r w:rsidR="005C179E" w:rsidRPr="0020789B">
        <w:rPr>
          <w:szCs w:val="24"/>
          <w:shd w:val="clear" w:color="auto" w:fill="FDFCFD"/>
        </w:rPr>
        <w:t>plāna projekta</w:t>
      </w:r>
      <w:r w:rsidR="00541A65" w:rsidRPr="0020789B">
        <w:rPr>
          <w:szCs w:val="24"/>
          <w:shd w:val="clear" w:color="auto" w:fill="FDFCFD"/>
        </w:rPr>
        <w:t xml:space="preserve"> 9.1.apakšpunktā noteiktais pasākums paredz apstrādāt informāciju par valsts amatpersonām piemēroto atbildību kriminālprocesā, nevis administratīvā pārkāpuma procesā. Ievērojot minēto, </w:t>
      </w:r>
      <w:r w:rsidR="00541A65" w:rsidRPr="0020789B">
        <w:rPr>
          <w:szCs w:val="24"/>
          <w:shd w:val="clear" w:color="auto" w:fill="FDFCFD"/>
        </w:rPr>
        <w:lastRenderedPageBreak/>
        <w:t>lūdz</w:t>
      </w:r>
      <w:r w:rsidR="005C179E" w:rsidRPr="0020789B">
        <w:rPr>
          <w:szCs w:val="24"/>
          <w:shd w:val="clear" w:color="auto" w:fill="FDFCFD"/>
        </w:rPr>
        <w:t>am</w:t>
      </w:r>
      <w:r w:rsidR="00541A65" w:rsidRPr="0020789B">
        <w:rPr>
          <w:szCs w:val="24"/>
          <w:shd w:val="clear" w:color="auto" w:fill="FDFCFD"/>
        </w:rPr>
        <w:t xml:space="preserve"> skaidrot, vai kriminālprocesa iztiesāšanas procesa “</w:t>
      </w:r>
      <w:proofErr w:type="spellStart"/>
      <w:r w:rsidR="00541A65" w:rsidRPr="0020789B">
        <w:rPr>
          <w:szCs w:val="24"/>
          <w:shd w:val="clear" w:color="auto" w:fill="FDFCFD"/>
        </w:rPr>
        <w:t>monitorēšana</w:t>
      </w:r>
      <w:proofErr w:type="spellEnd"/>
      <w:r w:rsidR="00541A65" w:rsidRPr="0020789B">
        <w:rPr>
          <w:szCs w:val="24"/>
          <w:shd w:val="clear" w:color="auto" w:fill="FDFCFD"/>
        </w:rPr>
        <w:t>” ietver personas datu apstrādi, tostarp nodošanu citām atbildīgajām institūcijām, kā arī</w:t>
      </w:r>
      <w:r w:rsidR="003F6D26" w:rsidRPr="0020789B">
        <w:rPr>
          <w:szCs w:val="24"/>
          <w:shd w:val="clear" w:color="auto" w:fill="FDFCFD"/>
        </w:rPr>
        <w:t>,</w:t>
      </w:r>
      <w:r w:rsidR="00541A65" w:rsidRPr="0020789B">
        <w:rPr>
          <w:szCs w:val="24"/>
          <w:shd w:val="clear" w:color="auto" w:fill="FDFCFD"/>
        </w:rPr>
        <w:t xml:space="preserve"> vai izmeklēšanas iestāžu tīmekļvietnēs plānots publicēt informāciju, kas satur personas datus. Apstiprinošas atbildes gadījumā lūgums sniegt informāciju par tiesisko pamatu, norādot normatīvo aktu/(-</w:t>
      </w:r>
      <w:proofErr w:type="spellStart"/>
      <w:r w:rsidR="00541A65" w:rsidRPr="0020789B">
        <w:rPr>
          <w:szCs w:val="24"/>
          <w:shd w:val="clear" w:color="auto" w:fill="FDFCFD"/>
        </w:rPr>
        <w:t>us</w:t>
      </w:r>
      <w:proofErr w:type="spellEnd"/>
      <w:r w:rsidR="00541A65" w:rsidRPr="0020789B">
        <w:rPr>
          <w:szCs w:val="24"/>
          <w:shd w:val="clear" w:color="auto" w:fill="FDFCFD"/>
        </w:rPr>
        <w:t>), kas reglamentē minētās personas datu apstrādes.</w:t>
      </w:r>
    </w:p>
    <w:p w14:paraId="4C4E9901" w14:textId="42444156" w:rsidR="003F1360" w:rsidRPr="0020789B" w:rsidRDefault="007357B8" w:rsidP="003F1360">
      <w:pPr>
        <w:ind w:firstLine="720"/>
      </w:pPr>
      <w:r w:rsidRPr="0020789B">
        <w:t>12</w:t>
      </w:r>
      <w:r w:rsidR="003F1360" w:rsidRPr="0020789B">
        <w:t xml:space="preserve">. Lūdzam </w:t>
      </w:r>
      <w:r w:rsidR="003F6D26" w:rsidRPr="0020789B">
        <w:t>p</w:t>
      </w:r>
      <w:r w:rsidR="003F1360" w:rsidRPr="0020789B">
        <w:t>lāna projekta</w:t>
      </w:r>
      <w:r w:rsidR="00B95FDD" w:rsidRPr="0020789B">
        <w:t xml:space="preserve"> III sadaļas</w:t>
      </w:r>
      <w:r w:rsidR="003F1360" w:rsidRPr="0020789B">
        <w:t xml:space="preserve"> 3.3. </w:t>
      </w:r>
      <w:r w:rsidR="003F6D26" w:rsidRPr="0020789B">
        <w:t>apakš</w:t>
      </w:r>
      <w:r w:rsidR="003F1360" w:rsidRPr="0020789B">
        <w:t>punktu, kā arī 3.4.1. un 3.4.2. apakšpunktu pēc vārdiem “ja valsts amatpersonai tiek” papildināt ar vārdu “solīts”.</w:t>
      </w:r>
    </w:p>
    <w:p w14:paraId="52147F99" w14:textId="36CE46A4" w:rsidR="003F1360" w:rsidRPr="0020789B" w:rsidRDefault="007357B8" w:rsidP="003F1360">
      <w:pPr>
        <w:ind w:firstLine="720"/>
      </w:pPr>
      <w:r w:rsidRPr="0020789B">
        <w:t>13</w:t>
      </w:r>
      <w:r w:rsidR="003F1360" w:rsidRPr="0020789B">
        <w:t>. Plāna projekta</w:t>
      </w:r>
      <w:r w:rsidR="00B95FDD" w:rsidRPr="0020789B">
        <w:t xml:space="preserve"> III sadaļas</w:t>
      </w:r>
      <w:r w:rsidR="003F1360" w:rsidRPr="0020789B">
        <w:t xml:space="preserve"> 9.3. </w:t>
      </w:r>
      <w:r w:rsidR="003F6D26" w:rsidRPr="0020789B">
        <w:t>apakšpunktā minētais</w:t>
      </w:r>
      <w:r w:rsidR="003F1360" w:rsidRPr="0020789B">
        <w:t xml:space="preserve"> pasākums noteic Korupcijas novēršanas un apkarošanas birojam un Tieslietu ministrijai nepieciešamību veikt izvērtējumu un sagatavot normatīvā akta projektu, lai nodrošinātu, ka kriminālprocesuālā imunitāte tiek attiecināta tikai uz kriminālvajāšanas stadiju. Uzskatām, ka uzdevums būtu pārformulējams tādējādi, ka primāri Korupcijas novēršanas un apkarošanas birojs veic izvērtējumu un</w:t>
      </w:r>
      <w:r w:rsidR="00AE0499" w:rsidRPr="0020789B">
        <w:t>,</w:t>
      </w:r>
      <w:r w:rsidR="003F1360" w:rsidRPr="0020789B">
        <w:t xml:space="preserve"> ja izvērtējuma rezultātā ir secinājums par nepieciešamām izmaiņām Kriminālprocesa likumā, tad šo izvērtējumu iesniedz Tieslietu ministrijai tālākai rīcībai, piemēram, diskusijai </w:t>
      </w:r>
      <w:r w:rsidR="00AE0499" w:rsidRPr="0020789B">
        <w:t>p</w:t>
      </w:r>
      <w:r w:rsidR="003F1360" w:rsidRPr="0020789B">
        <w:t>astāvīgajā Kriminālprocesa darba grupā. Ievērojot minēto, aicinām par šā pasākuma izpildes atbildīgo institūciju noteikt vienīgi Korupcijas novēršanas un apkarošanas biroju.</w:t>
      </w:r>
    </w:p>
    <w:p w14:paraId="716DE52A" w14:textId="7FE86BB2" w:rsidR="003F1360" w:rsidRPr="0020789B" w:rsidRDefault="007357B8" w:rsidP="003F1360">
      <w:pPr>
        <w:ind w:firstLine="720"/>
      </w:pPr>
      <w:r w:rsidRPr="0020789B">
        <w:t>14</w:t>
      </w:r>
      <w:r w:rsidR="003F1360" w:rsidRPr="0020789B">
        <w:t>. Plāna projekta</w:t>
      </w:r>
      <w:r w:rsidR="00B95FDD" w:rsidRPr="0020789B">
        <w:t xml:space="preserve"> III sadaļas</w:t>
      </w:r>
      <w:r w:rsidR="003F1360" w:rsidRPr="0020789B">
        <w:t xml:space="preserve"> 11.1. </w:t>
      </w:r>
      <w:r w:rsidR="003F6D26" w:rsidRPr="0020789B">
        <w:t>apakšpunktā ietvertais</w:t>
      </w:r>
      <w:r w:rsidR="003F1360" w:rsidRPr="0020789B">
        <w:t xml:space="preserve"> pasākums paredz nepieciešamību noteikt vienveidīgu praksi visām iestādēm </w:t>
      </w:r>
      <w:bookmarkStart w:id="4" w:name="_Hlk77153984"/>
      <w:r w:rsidR="003F1360" w:rsidRPr="0020789B">
        <w:t>attiecībā uz fizisko personu datu apstrādi kriminālprocesā un administratīvā pārkāpuma procesā</w:t>
      </w:r>
      <w:bookmarkEnd w:id="4"/>
      <w:r w:rsidR="003F1360" w:rsidRPr="0020789B">
        <w:t xml:space="preserve">, kā atbildīgo nosakot arī Tieslietu ministriju. Ņemot vērā, ka Tieslietu ministrijai nav tiesību veikt kriminālprocesu vai administratīvā pārkāpuma procesu, Tieslietu ministrija nevar arī izstrādāt prakses vadlīnijas attiecībā uz fizisko personu datu apstrādi kriminālprocesā un administratīvā pārkāpuma procesā. </w:t>
      </w:r>
    </w:p>
    <w:p w14:paraId="60915765" w14:textId="43269B56" w:rsidR="00906460" w:rsidRPr="0020789B" w:rsidRDefault="004D717B" w:rsidP="003F1360">
      <w:pPr>
        <w:ind w:firstLine="720"/>
      </w:pPr>
      <w:r w:rsidRPr="0020789B">
        <w:rPr>
          <w:szCs w:val="24"/>
          <w:shd w:val="clear" w:color="auto" w:fill="FDFCFD"/>
        </w:rPr>
        <w:t>N</w:t>
      </w:r>
      <w:r w:rsidR="00906460" w:rsidRPr="0020789B">
        <w:rPr>
          <w:szCs w:val="24"/>
          <w:shd w:val="clear" w:color="auto" w:fill="FDFCFD"/>
        </w:rPr>
        <w:t xml:space="preserve">o minētā uzdevuma izpildes rādītāja izriet, ka Tieslietu ministrijai un Datu valsts inspekcijai kā atbildīgajām iestādēm līdz </w:t>
      </w:r>
      <w:r w:rsidRPr="0020789B">
        <w:rPr>
          <w:szCs w:val="24"/>
          <w:shd w:val="clear" w:color="auto" w:fill="FDFCFD"/>
        </w:rPr>
        <w:t>2022.gada 30.decembrim</w:t>
      </w:r>
      <w:r w:rsidR="00906460" w:rsidRPr="0020789B">
        <w:rPr>
          <w:szCs w:val="24"/>
          <w:shd w:val="clear" w:color="auto" w:fill="FDFCFD"/>
        </w:rPr>
        <w:t xml:space="preserve"> būs jāsagatavo un M</w:t>
      </w:r>
      <w:r w:rsidRPr="0020789B">
        <w:rPr>
          <w:szCs w:val="24"/>
          <w:shd w:val="clear" w:color="auto" w:fill="FDFCFD"/>
        </w:rPr>
        <w:t>inistru kabinetā</w:t>
      </w:r>
      <w:r w:rsidR="00906460" w:rsidRPr="0020789B">
        <w:rPr>
          <w:szCs w:val="24"/>
          <w:shd w:val="clear" w:color="auto" w:fill="FDFCFD"/>
        </w:rPr>
        <w:t xml:space="preserve"> jāiesniedz informatīvais ziņojums un, ja nepieciešams, grozījumi normatīvajos aktos. Informējam, ka nav saprotama šāda punkta nepieciešamīb</w:t>
      </w:r>
      <w:r w:rsidRPr="0020789B">
        <w:rPr>
          <w:szCs w:val="24"/>
          <w:shd w:val="clear" w:color="auto" w:fill="FDFCFD"/>
        </w:rPr>
        <w:t>a,</w:t>
      </w:r>
      <w:r w:rsidR="00906460" w:rsidRPr="0020789B">
        <w:rPr>
          <w:szCs w:val="24"/>
          <w:shd w:val="clear" w:color="auto" w:fill="FDFCFD"/>
        </w:rPr>
        <w:t xml:space="preserve"> un lūdzam to svītrot. Paskaidrojam, ka kopš </w:t>
      </w:r>
      <w:r w:rsidRPr="0020789B">
        <w:rPr>
          <w:szCs w:val="24"/>
          <w:shd w:val="clear" w:color="auto" w:fill="FDFCFD"/>
        </w:rPr>
        <w:t>2019.gada 5.augusta ir</w:t>
      </w:r>
      <w:r w:rsidR="00906460" w:rsidRPr="0020789B">
        <w:rPr>
          <w:szCs w:val="24"/>
          <w:shd w:val="clear" w:color="auto" w:fill="FDFCFD"/>
        </w:rPr>
        <w:t xml:space="preserve"> stājies </w:t>
      </w:r>
      <w:r w:rsidR="00B75021" w:rsidRPr="0020789B">
        <w:rPr>
          <w:szCs w:val="24"/>
          <w:shd w:val="clear" w:color="auto" w:fill="FDFCFD"/>
        </w:rPr>
        <w:t xml:space="preserve">spēkā </w:t>
      </w:r>
      <w:r w:rsidR="00906460" w:rsidRPr="0020789B">
        <w:rPr>
          <w:szCs w:val="24"/>
          <w:shd w:val="clear" w:color="auto" w:fill="FDFCFD"/>
        </w:rPr>
        <w:t>Tiesībaizsardzības direktīvas likums un tajā ir transponētas Eiropas Parlamenta un Padomes 2016. gada 27. aprīļa direktīvas (ES) 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prasības, bet kopš</w:t>
      </w:r>
      <w:r w:rsidRPr="0020789B">
        <w:rPr>
          <w:szCs w:val="24"/>
          <w:shd w:val="clear" w:color="auto" w:fill="FDFCFD"/>
        </w:rPr>
        <w:t xml:space="preserve"> 2018.gada 25.maija</w:t>
      </w:r>
      <w:r w:rsidR="00906460" w:rsidRPr="0020789B">
        <w:rPr>
          <w:szCs w:val="24"/>
          <w:shd w:val="clear" w:color="auto" w:fill="FDFCFD"/>
        </w:rPr>
        <w:t xml:space="preserve"> spēkā stājusies Datu regula, kā arī kopš</w:t>
      </w:r>
      <w:r w:rsidRPr="0020789B">
        <w:rPr>
          <w:szCs w:val="24"/>
          <w:shd w:val="clear" w:color="auto" w:fill="FDFCFD"/>
        </w:rPr>
        <w:t xml:space="preserve"> 2018.gada 5.jūlija</w:t>
      </w:r>
      <w:r w:rsidR="00906460" w:rsidRPr="0020789B">
        <w:rPr>
          <w:szCs w:val="24"/>
          <w:shd w:val="clear" w:color="auto" w:fill="FDFCFD"/>
        </w:rPr>
        <w:t xml:space="preserve"> spēkā stājies Fizisko personu datu apstrādes likums (turpmāk – FPDAL). Līdz ar to secināms, ka jautājumi, kas saistīti ar personas datu apstrādi </w:t>
      </w:r>
      <w:proofErr w:type="spellStart"/>
      <w:r w:rsidR="00906460" w:rsidRPr="0020789B">
        <w:rPr>
          <w:szCs w:val="24"/>
          <w:shd w:val="clear" w:color="auto" w:fill="FDFCFD"/>
        </w:rPr>
        <w:t>resoriskajās</w:t>
      </w:r>
      <w:proofErr w:type="spellEnd"/>
      <w:r w:rsidR="00906460" w:rsidRPr="0020789B">
        <w:rPr>
          <w:szCs w:val="24"/>
          <w:shd w:val="clear" w:color="auto" w:fill="FDFCFD"/>
        </w:rPr>
        <w:t xml:space="preserve"> pārbaudēs, kā arī, iespējams, saistībā ar riska informācija apstrādi, būtu risināmi Tiesībaizsardzības direktīvas likuma, Datu regulas, FPDAL un citu tiesību aktu starpniecību. Vienlaikus informējam, ka nav saprotams, kas ir domāts ar terminu “riska informācija”. Papildus minētajam norādāms, ka tiesībaizsardzības iestādēm var rasties neskaidrības par personas datu apstrādi kontekstā ar iespējamo minēto problemātiku. Tādējādi rosinām šos jautājumus sākotnēji risināt, piemēram, tiesībaizsardzības iestāžu ietvaros, kā arī nepieciešamības gadījumā vērsties Tieslietu ministrijā ar nolūku noorganizēt Fizisko personu datu aizsardzības konsultatīvās padomes sēdi.</w:t>
      </w:r>
    </w:p>
    <w:p w14:paraId="19B67EBC" w14:textId="2266FBBD" w:rsidR="003F1360" w:rsidRPr="0020789B" w:rsidRDefault="007357B8" w:rsidP="003F1360">
      <w:pPr>
        <w:ind w:firstLine="720"/>
      </w:pPr>
      <w:r w:rsidRPr="0020789B">
        <w:t>15</w:t>
      </w:r>
      <w:r w:rsidR="003F1360" w:rsidRPr="0020789B">
        <w:t>. Plāna projekta</w:t>
      </w:r>
      <w:r w:rsidR="00B95FDD" w:rsidRPr="0020789B">
        <w:t xml:space="preserve"> III sadaļas</w:t>
      </w:r>
      <w:r w:rsidR="003F1360" w:rsidRPr="0020789B">
        <w:t xml:space="preserve"> 11.2. </w:t>
      </w:r>
      <w:r w:rsidR="004D717B" w:rsidRPr="0020789B">
        <w:t>apakšpunktā ietvertais</w:t>
      </w:r>
      <w:r w:rsidR="003F1360" w:rsidRPr="0020789B">
        <w:t xml:space="preserve"> pasākums noteic nepieciešamību nodrošināt koruptīvo nodarījumu izmeklēšanas un kriminālvajāšanas ciešāku saikni ar finanšu un ekonomisko noziegumu, kā arī noziedzīgu nodarījumu valsts institūciju dienestā izmeklēšanu un kriminālvajāšanu. </w:t>
      </w:r>
      <w:r w:rsidR="004D717B" w:rsidRPr="0020789B">
        <w:t>Tieslietu ministrijas</w:t>
      </w:r>
      <w:r w:rsidR="003F1360" w:rsidRPr="0020789B">
        <w:t xml:space="preserve"> ieskatā šāds pasākuma formulējums attiecībā uz koruptīvo noziedzīgo nodarījumu saikni ar finanšu un ekonomiskajiem noziegumiem ir neskaidrs, jo koruptīvie noziedzīgie nodarījumi ir vieni no finanšu un ekonomiskajiem noziedzīgajiem nodarījumiem. Ievērojot minēto, aicinām precizēt attiecīgo pasākumu atbilstoši norādītajam.</w:t>
      </w:r>
    </w:p>
    <w:p w14:paraId="1AA59486" w14:textId="129C417F" w:rsidR="00906460" w:rsidRPr="0020789B" w:rsidRDefault="007357B8" w:rsidP="003F1360">
      <w:pPr>
        <w:ind w:firstLine="720"/>
      </w:pPr>
      <w:r w:rsidRPr="0020789B">
        <w:t>16</w:t>
      </w:r>
      <w:r w:rsidR="00906460" w:rsidRPr="0020789B">
        <w:t xml:space="preserve">. </w:t>
      </w:r>
      <w:r w:rsidR="00906460" w:rsidRPr="0020789B">
        <w:rPr>
          <w:szCs w:val="24"/>
          <w:shd w:val="clear" w:color="auto" w:fill="FDFCFD"/>
        </w:rPr>
        <w:t xml:space="preserve">Šobrīd norit darbs pie tiesnešu un prokuroru kvalifikācijas pilnveides sistēmas reformas, izveidojot vienotu mācību centru. Pamatojoties uz Atveseļošanas un noturības mehānisma plānā noteiktiem termiņiem, uzdevuma Nr. 6.2.1.3.i. Vienota tiesnešu, tiesu darbinieku, prokuroru, prokuroru palīgu un specializēto izmeklētāju (starpdisciplināros </w:t>
      </w:r>
      <w:r w:rsidR="00906460" w:rsidRPr="0020789B">
        <w:rPr>
          <w:szCs w:val="24"/>
          <w:shd w:val="clear" w:color="auto" w:fill="FDFCFD"/>
        </w:rPr>
        <w:lastRenderedPageBreak/>
        <w:t xml:space="preserve">jautājumos) kvalifikācijas pilnveides mācību centra izveides uzsākšana ir plānota 2022.gadā, līdz ar to būtu nepieciešams </w:t>
      </w:r>
      <w:r w:rsidR="004D717B" w:rsidRPr="0020789B">
        <w:rPr>
          <w:szCs w:val="24"/>
          <w:shd w:val="clear" w:color="auto" w:fill="FDFCFD"/>
        </w:rPr>
        <w:t>plāna projekta</w:t>
      </w:r>
      <w:r w:rsidR="00B95FDD" w:rsidRPr="0020789B">
        <w:rPr>
          <w:szCs w:val="24"/>
          <w:shd w:val="clear" w:color="auto" w:fill="FDFCFD"/>
        </w:rPr>
        <w:t xml:space="preserve"> III sadaļas</w:t>
      </w:r>
      <w:r w:rsidR="00906460" w:rsidRPr="0020789B">
        <w:rPr>
          <w:szCs w:val="24"/>
          <w:shd w:val="clear" w:color="auto" w:fill="FDFCFD"/>
        </w:rPr>
        <w:t xml:space="preserve"> 11.2. </w:t>
      </w:r>
      <w:r w:rsidR="004D717B" w:rsidRPr="0020789B">
        <w:rPr>
          <w:szCs w:val="24"/>
          <w:shd w:val="clear" w:color="auto" w:fill="FDFCFD"/>
        </w:rPr>
        <w:t xml:space="preserve">apakšpunktā ietvertā pasākuma </w:t>
      </w:r>
      <w:r w:rsidR="00906460" w:rsidRPr="0020789B">
        <w:rPr>
          <w:szCs w:val="24"/>
          <w:shd w:val="clear" w:color="auto" w:fill="FDFCFD"/>
        </w:rPr>
        <w:t>izpildes termiņu noteikt ne ātrāk kā 2023.gada beigas.</w:t>
      </w:r>
      <w:r w:rsidR="00906460" w:rsidRPr="0020789B">
        <w:rPr>
          <w:sz w:val="17"/>
          <w:szCs w:val="17"/>
          <w:shd w:val="clear" w:color="auto" w:fill="FDFCFD"/>
        </w:rPr>
        <w:t> </w:t>
      </w:r>
    </w:p>
    <w:p w14:paraId="4A52C0FC" w14:textId="7D374DBA" w:rsidR="003F1360" w:rsidRPr="0020789B" w:rsidRDefault="007357B8" w:rsidP="003F1360">
      <w:pPr>
        <w:ind w:firstLine="720"/>
      </w:pPr>
      <w:r w:rsidRPr="0020789B">
        <w:t>17</w:t>
      </w:r>
      <w:r w:rsidR="003F1360" w:rsidRPr="0020789B">
        <w:t xml:space="preserve">. Plāna projekta </w:t>
      </w:r>
      <w:r w:rsidR="00B95FDD" w:rsidRPr="0020789B">
        <w:t xml:space="preserve">III sadaļas </w:t>
      </w:r>
      <w:r w:rsidR="003F1360" w:rsidRPr="0020789B">
        <w:t xml:space="preserve">11.3. </w:t>
      </w:r>
      <w:r w:rsidR="004D717B" w:rsidRPr="0020789B">
        <w:t>apakšpunktā minētajā</w:t>
      </w:r>
      <w:r w:rsidR="003F1360" w:rsidRPr="0020789B">
        <w:t xml:space="preserve"> pasākumā ir norādīta sasaiste ar Pasākumu plānu samērīgas pieejas nostiprināšanai, izpildot noziedzīgi iegūtu līdzekļu legalizācijas un terorisma un </w:t>
      </w:r>
      <w:proofErr w:type="spellStart"/>
      <w:r w:rsidR="003F1360" w:rsidRPr="0020789B">
        <w:t>proliferācijas</w:t>
      </w:r>
      <w:proofErr w:type="spellEnd"/>
      <w:r w:rsidR="003F1360" w:rsidRPr="0020789B">
        <w:t xml:space="preserve"> finansēšanas novēršanas prasības (18. pasākums). </w:t>
      </w:r>
      <w:r w:rsidR="004D717B" w:rsidRPr="0020789B">
        <w:t>Vēršam uzmanību</w:t>
      </w:r>
      <w:r w:rsidR="003F1360" w:rsidRPr="0020789B">
        <w:t>, ka Pasākumu plānā nav 18. pasākuma, līdz ar to aicinām precizēt</w:t>
      </w:r>
      <w:r w:rsidR="004D717B" w:rsidRPr="0020789B">
        <w:t xml:space="preserve"> plāna projektu.</w:t>
      </w:r>
    </w:p>
    <w:p w14:paraId="30CBEFF2" w14:textId="233F2036" w:rsidR="003F1360" w:rsidRPr="0020789B" w:rsidRDefault="003F1360" w:rsidP="003F1360">
      <w:pPr>
        <w:ind w:firstLine="720"/>
      </w:pPr>
      <w:r w:rsidRPr="0020789B">
        <w:t>1</w:t>
      </w:r>
      <w:r w:rsidR="007357B8" w:rsidRPr="0020789B">
        <w:t>8</w:t>
      </w:r>
      <w:r w:rsidRPr="0020789B">
        <w:t xml:space="preserve">. </w:t>
      </w:r>
      <w:r w:rsidR="00CD6486" w:rsidRPr="0020789B">
        <w:t>Plāna projekta</w:t>
      </w:r>
      <w:r w:rsidR="00B95FDD" w:rsidRPr="0020789B">
        <w:t xml:space="preserve"> III sadaļas</w:t>
      </w:r>
      <w:r w:rsidR="00CD6486" w:rsidRPr="0020789B">
        <w:t xml:space="preserve"> </w:t>
      </w:r>
      <w:r w:rsidR="00104E0C" w:rsidRPr="0020789B">
        <w:t xml:space="preserve">12.rīcības virziens "Politisko organizāciju finansēšanas atklātuma nodrošināšana un naudas lomas politikā mazināšana" paredz vairākus veicamos pasākumus saistībā ar politiskajām partijām. Tieslietu ministrijas ieskatā nav nepieciešams </w:t>
      </w:r>
      <w:r w:rsidR="007357B8" w:rsidRPr="0020789B">
        <w:t>katru uzdevumu tik sīki izdalīt atsevišķi, tāpēc</w:t>
      </w:r>
      <w:r w:rsidR="00104E0C" w:rsidRPr="0020789B">
        <w:t xml:space="preserve"> būtu sagatavojams viens situācijas izvērtējums par svarīgākajiem šīs jomas aspektiem, </w:t>
      </w:r>
      <w:r w:rsidR="007357B8" w:rsidRPr="0020789B">
        <w:t>tādējādi arī padarot efektīvāku resursu patēriņu uzdevumu izpildē. Ņemot vērā minēto, lūdzam precizēt plāna projekta 12.rīcības virzienu, paredzot vienu pasākumu, nevis 12, un kā atbildīgo institūciju nosakot Korupcijas novēršanas un apkarošanas biroju, savukārt pārējās institūcijas, tajā skaitā arī Tieslietu ministriju, kā līdzatbildīgās institūcijas.</w:t>
      </w:r>
    </w:p>
    <w:p w14:paraId="243A0E42" w14:textId="2F189EB6" w:rsidR="00541A65" w:rsidRPr="0020789B" w:rsidRDefault="00541A65" w:rsidP="003F1360">
      <w:pPr>
        <w:ind w:firstLine="720"/>
        <w:rPr>
          <w:szCs w:val="24"/>
          <w:shd w:val="clear" w:color="auto" w:fill="FDFCFD"/>
        </w:rPr>
      </w:pPr>
      <w:r w:rsidRPr="0020789B">
        <w:rPr>
          <w:szCs w:val="24"/>
        </w:rPr>
        <w:t>1</w:t>
      </w:r>
      <w:r w:rsidR="007357B8" w:rsidRPr="0020789B">
        <w:rPr>
          <w:szCs w:val="24"/>
        </w:rPr>
        <w:t>9</w:t>
      </w:r>
      <w:r w:rsidRPr="0020789B">
        <w:rPr>
          <w:szCs w:val="24"/>
        </w:rPr>
        <w:t xml:space="preserve">. </w:t>
      </w:r>
      <w:r w:rsidRPr="0020789B">
        <w:rPr>
          <w:szCs w:val="24"/>
          <w:shd w:val="clear" w:color="auto" w:fill="FDFCFD"/>
        </w:rPr>
        <w:t>Saistībā ar plāna projekta</w:t>
      </w:r>
      <w:r w:rsidR="00B95FDD" w:rsidRPr="0020789B">
        <w:rPr>
          <w:szCs w:val="24"/>
          <w:shd w:val="clear" w:color="auto" w:fill="FDFCFD"/>
        </w:rPr>
        <w:t xml:space="preserve"> III sadaļas</w:t>
      </w:r>
      <w:r w:rsidRPr="0020789B">
        <w:rPr>
          <w:szCs w:val="24"/>
          <w:shd w:val="clear" w:color="auto" w:fill="FDFCFD"/>
        </w:rPr>
        <w:t xml:space="preserve"> 12.2.apakšpunktā paredzēto pasākumu izvērtēt nepieciešamību un tehniskās iespējas datu apmaiņai starp Elektronisko datu ievades sistēmu (EDIS) un Elektronisko deklarēšanas sistēmu (EDS) atzīmējams, ka atbilstoši </w:t>
      </w:r>
      <w:r w:rsidR="00B75021" w:rsidRPr="0020789B">
        <w:rPr>
          <w:szCs w:val="24"/>
          <w:shd w:val="clear" w:color="auto" w:fill="FDFCFD"/>
        </w:rPr>
        <w:t>D</w:t>
      </w:r>
      <w:r w:rsidR="004D717B" w:rsidRPr="0020789B">
        <w:rPr>
          <w:szCs w:val="24"/>
          <w:shd w:val="clear" w:color="auto" w:fill="FDFCFD"/>
        </w:rPr>
        <w:t>atu r</w:t>
      </w:r>
      <w:r w:rsidRPr="0020789B">
        <w:rPr>
          <w:szCs w:val="24"/>
          <w:shd w:val="clear" w:color="auto" w:fill="FDFCFD"/>
        </w:rPr>
        <w:t xml:space="preserve">egulas 6.panta 3.punktam un Valsts informācijas sistēmu likuma 5.pantam valsts informācijas sistēmu darbība, tostarp datu apmaiņu starp tām tiek reglamentēta ar tiesību aktu. </w:t>
      </w:r>
      <w:r w:rsidR="004D717B" w:rsidRPr="0020789B">
        <w:rPr>
          <w:szCs w:val="24"/>
          <w:shd w:val="clear" w:color="auto" w:fill="FDFCFD"/>
        </w:rPr>
        <w:t xml:space="preserve">Tieslietu ministrijas </w:t>
      </w:r>
      <w:r w:rsidRPr="0020789B">
        <w:rPr>
          <w:szCs w:val="24"/>
          <w:shd w:val="clear" w:color="auto" w:fill="FDFCFD"/>
        </w:rPr>
        <w:t>rīcībā nav informācijas par normatīvo aktu, kas reglamentē Elektroniskās datu ievades sistēmas un Elektroniskās deklarēšanas sistēmas darbību, tādejādi nav iespējams konstatēt tiesisko pamatu personas datu apstrādei minētajās informācijas sistēmās. Lūdz</w:t>
      </w:r>
      <w:r w:rsidR="004D717B" w:rsidRPr="0020789B">
        <w:rPr>
          <w:szCs w:val="24"/>
          <w:shd w:val="clear" w:color="auto" w:fill="FDFCFD"/>
        </w:rPr>
        <w:t>am</w:t>
      </w:r>
      <w:r w:rsidRPr="0020789B">
        <w:rPr>
          <w:szCs w:val="24"/>
          <w:shd w:val="clear" w:color="auto" w:fill="FDFCFD"/>
        </w:rPr>
        <w:t xml:space="preserve"> apsvērt iespēju izstrādāt normatīvo regulējumu, tādejādi nodrošinot tiesisko pamatu personas datu apstrādei Elektroniskās datu ievades sistēmā un Elektroniskās deklarēšanas sistēmā.</w:t>
      </w:r>
    </w:p>
    <w:p w14:paraId="02D777A1" w14:textId="1F56F10A" w:rsidR="00541A65" w:rsidRPr="0020789B" w:rsidRDefault="007357B8" w:rsidP="003F1360">
      <w:pPr>
        <w:ind w:firstLine="720"/>
        <w:rPr>
          <w:szCs w:val="24"/>
          <w:shd w:val="clear" w:color="auto" w:fill="FDFCFD"/>
        </w:rPr>
      </w:pPr>
      <w:r w:rsidRPr="0020789B">
        <w:rPr>
          <w:szCs w:val="24"/>
          <w:shd w:val="clear" w:color="auto" w:fill="FDFCFD"/>
        </w:rPr>
        <w:t>20</w:t>
      </w:r>
      <w:r w:rsidR="00541A65" w:rsidRPr="0020789B">
        <w:rPr>
          <w:szCs w:val="24"/>
          <w:shd w:val="clear" w:color="auto" w:fill="FDFCFD"/>
        </w:rPr>
        <w:t xml:space="preserve">. Atbilstoši plāna projekta </w:t>
      </w:r>
      <w:r w:rsidR="00B95FDD" w:rsidRPr="0020789B">
        <w:rPr>
          <w:szCs w:val="24"/>
          <w:shd w:val="clear" w:color="auto" w:fill="FDFCFD"/>
        </w:rPr>
        <w:t xml:space="preserve">III sadaļas </w:t>
      </w:r>
      <w:r w:rsidR="00541A65" w:rsidRPr="0020789B">
        <w:rPr>
          <w:szCs w:val="24"/>
          <w:shd w:val="clear" w:color="auto" w:fill="FDFCFD"/>
        </w:rPr>
        <w:t>13.1.apakšpunktam plānots nodrošināt informācijas publisku pieejamību par politisko partiju biedru sastāvu, kā arī par politisko partiju apvienībās ietilpstošām partijām, veicinot atklātību un radot priekšnosacījumus informācijas tālākai apstrādei pēc nepieciešamības. Kā rezultāts norādīta nodrošināta publiska piekļuve informācijai Uzņēmumu reģistra mājas lapā. Politisko partiju likuma 27.panta sestajā daļā noteikts, ka politiskās partijas biedru vārds un uzvārds ir vispārpieejama informācija un ar to var iepazīties ikviens, vienlaikus partijas biedru reģistrā ietvertā informācija neaprobežojas ar politisko partijas biedru vārdu un uzvārdu, proti, atbilstoši Politisko partiju likuma 27.panta pirmajai daļai partijas (izņemot partiju apvienības) ved partijas biedru reģistru, kurā ieraksta partijas biedru vārdu, uzvārdu, personas kodu, pilsonību un deklarētās dzīvesvietas adresi. No minētās plāna projekta apakšpunkta redakcijas nav saprotams, kādam datu apjomam plānots nodrošināt publisku piekļuvi Uzņēmuma reģistra mājas lapā. Vēršam uzmanību, ka Politisko partiju likums paredz vispārpieejamas informācijas statusu tikai politisko partiju biedru vārdam un uzvārdam. Ievērojot minēto, lūgums precizēt plāna projekta 13.1.apakšpunktu.</w:t>
      </w:r>
    </w:p>
    <w:p w14:paraId="0DD23F0F" w14:textId="04754C47" w:rsidR="00541A65" w:rsidRPr="0020789B" w:rsidRDefault="007357B8" w:rsidP="003F1360">
      <w:pPr>
        <w:ind w:firstLine="720"/>
        <w:rPr>
          <w:szCs w:val="24"/>
        </w:rPr>
      </w:pPr>
      <w:r w:rsidRPr="0020789B">
        <w:rPr>
          <w:szCs w:val="24"/>
          <w:shd w:val="clear" w:color="auto" w:fill="FDFCFD"/>
        </w:rPr>
        <w:t>21</w:t>
      </w:r>
      <w:r w:rsidR="00541A65" w:rsidRPr="0020789B">
        <w:rPr>
          <w:szCs w:val="24"/>
          <w:shd w:val="clear" w:color="auto" w:fill="FDFCFD"/>
        </w:rPr>
        <w:t>. Plāna projekta</w:t>
      </w:r>
      <w:r w:rsidR="00B95FDD" w:rsidRPr="0020789B">
        <w:rPr>
          <w:szCs w:val="24"/>
          <w:shd w:val="clear" w:color="auto" w:fill="FDFCFD"/>
        </w:rPr>
        <w:t xml:space="preserve"> III sadaļas</w:t>
      </w:r>
      <w:r w:rsidR="00541A65" w:rsidRPr="0020789B">
        <w:rPr>
          <w:szCs w:val="24"/>
          <w:shd w:val="clear" w:color="auto" w:fill="FDFCFD"/>
        </w:rPr>
        <w:t xml:space="preserve"> 3.6.1.apakšpunktā </w:t>
      </w:r>
      <w:r w:rsidR="00BB18F9" w:rsidRPr="0020789B">
        <w:rPr>
          <w:szCs w:val="24"/>
          <w:shd w:val="clear" w:color="auto" w:fill="FDFCFD"/>
        </w:rPr>
        <w:t>Datu valsts inspekcija</w:t>
      </w:r>
      <w:r w:rsidR="00541A65" w:rsidRPr="0020789B">
        <w:rPr>
          <w:szCs w:val="24"/>
          <w:shd w:val="clear" w:color="auto" w:fill="FDFCFD"/>
        </w:rPr>
        <w:t xml:space="preserve"> noteikta kā līdzatbildīgā institūcija tiesiskā ietvara nodrošināšanai būvniecības procesā veicamo pārbaužu vai būvju pieņemšanas ekspluatācijā procesa </w:t>
      </w:r>
      <w:proofErr w:type="spellStart"/>
      <w:r w:rsidR="00541A65" w:rsidRPr="0020789B">
        <w:rPr>
          <w:szCs w:val="24"/>
          <w:shd w:val="clear" w:color="auto" w:fill="FDFCFD"/>
        </w:rPr>
        <w:t>videofiksācijai</w:t>
      </w:r>
      <w:proofErr w:type="spellEnd"/>
      <w:r w:rsidR="00541A65" w:rsidRPr="0020789B">
        <w:rPr>
          <w:szCs w:val="24"/>
          <w:shd w:val="clear" w:color="auto" w:fill="FDFCFD"/>
        </w:rPr>
        <w:t xml:space="preserve">, izmantojot videokameru objekta apmeklēšanas laikā. Jautājumā par </w:t>
      </w:r>
      <w:r w:rsidR="00BB18F9" w:rsidRPr="0020789B">
        <w:rPr>
          <w:szCs w:val="24"/>
          <w:shd w:val="clear" w:color="auto" w:fill="FDFCFD"/>
        </w:rPr>
        <w:t>Datu valsts inspekcijas</w:t>
      </w:r>
      <w:r w:rsidR="00541A65" w:rsidRPr="0020789B">
        <w:rPr>
          <w:szCs w:val="24"/>
          <w:shd w:val="clear" w:color="auto" w:fill="FDFCFD"/>
        </w:rPr>
        <w:t xml:space="preserve"> dalību tiesiskā ietvara nodrošināšanā vēršam uzmanību, ka normatīvo aktu izstrāde neskar </w:t>
      </w:r>
      <w:r w:rsidR="00BB18F9" w:rsidRPr="0020789B">
        <w:rPr>
          <w:szCs w:val="24"/>
          <w:shd w:val="clear" w:color="auto" w:fill="FDFCFD"/>
        </w:rPr>
        <w:t>Datu valsts inspekcijas</w:t>
      </w:r>
      <w:r w:rsidR="00541A65" w:rsidRPr="0020789B">
        <w:rPr>
          <w:szCs w:val="24"/>
          <w:shd w:val="clear" w:color="auto" w:fill="FDFCFD"/>
        </w:rPr>
        <w:t xml:space="preserve"> kompetences jomu. Atbilstoši </w:t>
      </w:r>
      <w:r w:rsidR="00933176" w:rsidRPr="0020789B">
        <w:rPr>
          <w:szCs w:val="24"/>
          <w:shd w:val="clear" w:color="auto" w:fill="FDFCFD"/>
        </w:rPr>
        <w:t>D</w:t>
      </w:r>
      <w:r w:rsidR="00BB18F9" w:rsidRPr="0020789B">
        <w:rPr>
          <w:szCs w:val="24"/>
          <w:shd w:val="clear" w:color="auto" w:fill="FDFCFD"/>
        </w:rPr>
        <w:t>atu r</w:t>
      </w:r>
      <w:r w:rsidR="00541A65" w:rsidRPr="0020789B">
        <w:rPr>
          <w:szCs w:val="24"/>
          <w:shd w:val="clear" w:color="auto" w:fill="FDFCFD"/>
        </w:rPr>
        <w:t xml:space="preserve">egulas 57.panta 1.punkta “c” apakšpunktam </w:t>
      </w:r>
      <w:r w:rsidR="00BB18F9" w:rsidRPr="0020789B">
        <w:rPr>
          <w:szCs w:val="24"/>
          <w:shd w:val="clear" w:color="auto" w:fill="FDFCFD"/>
        </w:rPr>
        <w:t>Datu valsts inspekcijas</w:t>
      </w:r>
      <w:r w:rsidR="00541A65" w:rsidRPr="0020789B">
        <w:rPr>
          <w:szCs w:val="24"/>
          <w:shd w:val="clear" w:color="auto" w:fill="FDFCFD"/>
        </w:rPr>
        <w:t xml:space="preserve"> uzdevums saskaņā ar dalībvalsts tiesību aktiem ir konsultēt valsts parlamentu, valdību un citas iestādes un struktūras par likumdošanas un administratīviem pasākumiem saistībā ar fizisku personu tiesību un brīvību aizsardzību attiecībā uz apstrādi. Fizisko personu datu apstrādes likuma 4.panta pirmās daļas 5.punkts paredz </w:t>
      </w:r>
      <w:r w:rsidR="00BB18F9" w:rsidRPr="0020789B">
        <w:rPr>
          <w:szCs w:val="24"/>
          <w:shd w:val="clear" w:color="auto" w:fill="FDFCFD"/>
        </w:rPr>
        <w:t>Datu valsts inspekcijas</w:t>
      </w:r>
      <w:r w:rsidR="00541A65" w:rsidRPr="0020789B">
        <w:rPr>
          <w:szCs w:val="24"/>
          <w:shd w:val="clear" w:color="auto" w:fill="FDFCFD"/>
        </w:rPr>
        <w:t xml:space="preserve"> uzdevumu atbilstoši savai kompetencei sniegt Saeimai, Ministru kabinetam, pašvaldībām un citām iestādēm ieteikumus attiecībā uz tiesību aktu izdošanu vai grozīšanu, kā arī piedalīties normatīvo aktu un attīstības plānošanas dokumentu projektu izstrādē un sniegt viedokli par citu institūciju sagatavotajiem normatīvo aktu un attīstības </w:t>
      </w:r>
      <w:r w:rsidR="00541A65" w:rsidRPr="0020789B">
        <w:rPr>
          <w:szCs w:val="24"/>
          <w:shd w:val="clear" w:color="auto" w:fill="FDFCFD"/>
        </w:rPr>
        <w:lastRenderedPageBreak/>
        <w:t xml:space="preserve">plānošanas dokumentu projektiem. Ievērojot minēto, </w:t>
      </w:r>
      <w:r w:rsidR="00BB18F9" w:rsidRPr="0020789B">
        <w:rPr>
          <w:szCs w:val="24"/>
          <w:shd w:val="clear" w:color="auto" w:fill="FDFCFD"/>
        </w:rPr>
        <w:t>Datu valsts inspekcija</w:t>
      </w:r>
      <w:r w:rsidR="00541A65" w:rsidRPr="0020789B">
        <w:rPr>
          <w:szCs w:val="24"/>
          <w:shd w:val="clear" w:color="auto" w:fill="FDFCFD"/>
        </w:rPr>
        <w:t xml:space="preserve"> var sniegt viedokli un vērtējumu par izstrādājamo tiesību akta projektu, nevis bū</w:t>
      </w:r>
      <w:r w:rsidR="00BB18F9" w:rsidRPr="0020789B">
        <w:rPr>
          <w:szCs w:val="24"/>
          <w:shd w:val="clear" w:color="auto" w:fill="FDFCFD"/>
        </w:rPr>
        <w:t>t</w:t>
      </w:r>
      <w:r w:rsidR="00541A65" w:rsidRPr="0020789B">
        <w:rPr>
          <w:szCs w:val="24"/>
          <w:shd w:val="clear" w:color="auto" w:fill="FDFCFD"/>
        </w:rPr>
        <w:t xml:space="preserve"> līdzautors, līdz ar to lūgums svītrot no plāna projekta 3.6.1.apakšpunkta </w:t>
      </w:r>
      <w:r w:rsidR="00BB18F9" w:rsidRPr="0020789B">
        <w:rPr>
          <w:szCs w:val="24"/>
          <w:shd w:val="clear" w:color="auto" w:fill="FDFCFD"/>
        </w:rPr>
        <w:t>Datu valsts i</w:t>
      </w:r>
      <w:r w:rsidR="00541A65" w:rsidRPr="0020789B">
        <w:rPr>
          <w:szCs w:val="24"/>
          <w:shd w:val="clear" w:color="auto" w:fill="FDFCFD"/>
        </w:rPr>
        <w:t>nspekciju kā līdzatbildīgo institūciju tiesiskā ietvara nodrošināšanā. Vienlaikus vēršam uzmanību, ka pirms</w:t>
      </w:r>
      <w:r w:rsidR="00BB18F9" w:rsidRPr="0020789B">
        <w:rPr>
          <w:szCs w:val="24"/>
          <w:shd w:val="clear" w:color="auto" w:fill="FDFCFD"/>
        </w:rPr>
        <w:t xml:space="preserve"> </w:t>
      </w:r>
      <w:r w:rsidR="00541A65" w:rsidRPr="0020789B">
        <w:rPr>
          <w:szCs w:val="24"/>
          <w:shd w:val="clear" w:color="auto" w:fill="FDFCFD"/>
        </w:rPr>
        <w:t>tiesiskā ietvara izstrād</w:t>
      </w:r>
      <w:r w:rsidR="00BB18F9" w:rsidRPr="0020789B">
        <w:rPr>
          <w:szCs w:val="24"/>
          <w:shd w:val="clear" w:color="auto" w:fill="FDFCFD"/>
        </w:rPr>
        <w:t>es uzsākšanas</w:t>
      </w:r>
      <w:r w:rsidR="00541A65" w:rsidRPr="0020789B">
        <w:rPr>
          <w:szCs w:val="24"/>
          <w:shd w:val="clear" w:color="auto" w:fill="FDFCFD"/>
        </w:rPr>
        <w:t xml:space="preserve"> nepieciešams apzināt, pirmkārt, kāds ir </w:t>
      </w:r>
      <w:proofErr w:type="spellStart"/>
      <w:r w:rsidR="00541A65" w:rsidRPr="0020789B">
        <w:rPr>
          <w:szCs w:val="24"/>
          <w:shd w:val="clear" w:color="auto" w:fill="FDFCFD"/>
        </w:rPr>
        <w:t>videofiksācijas</w:t>
      </w:r>
      <w:proofErr w:type="spellEnd"/>
      <w:r w:rsidR="00541A65" w:rsidRPr="0020789B">
        <w:rPr>
          <w:szCs w:val="24"/>
          <w:shd w:val="clear" w:color="auto" w:fill="FDFCFD"/>
        </w:rPr>
        <w:t xml:space="preserve"> nolūks, otrkārt, vai objekta apmeklēšanas laikā </w:t>
      </w:r>
      <w:proofErr w:type="spellStart"/>
      <w:r w:rsidR="00541A65" w:rsidRPr="0020789B">
        <w:rPr>
          <w:szCs w:val="24"/>
          <w:shd w:val="clear" w:color="auto" w:fill="FDFCFD"/>
        </w:rPr>
        <w:t>videofiksācijai</w:t>
      </w:r>
      <w:proofErr w:type="spellEnd"/>
      <w:r w:rsidR="00541A65" w:rsidRPr="0020789B">
        <w:rPr>
          <w:szCs w:val="24"/>
          <w:shd w:val="clear" w:color="auto" w:fill="FDFCFD"/>
        </w:rPr>
        <w:t xml:space="preserve"> var tikt pakļautas fiziskās personas un vai fizisko personu </w:t>
      </w:r>
      <w:proofErr w:type="spellStart"/>
      <w:r w:rsidR="00541A65" w:rsidRPr="0020789B">
        <w:rPr>
          <w:szCs w:val="24"/>
          <w:shd w:val="clear" w:color="auto" w:fill="FDFCFD"/>
        </w:rPr>
        <w:t>videofiksācija</w:t>
      </w:r>
      <w:proofErr w:type="spellEnd"/>
      <w:r w:rsidR="00541A65" w:rsidRPr="0020789B">
        <w:rPr>
          <w:szCs w:val="24"/>
          <w:shd w:val="clear" w:color="auto" w:fill="FDFCFD"/>
        </w:rPr>
        <w:t xml:space="preserve"> ir nepieciešama un samērīga nolūka sasniegšanai, treškārt, vai nolūku nav iespējams sasniegt ar citiem, datu subjekta tiesību mazāk ierobežojošiem līdzekļiem. </w:t>
      </w:r>
    </w:p>
    <w:p w14:paraId="32A312A8" w14:textId="350F7825" w:rsidR="00CD6486" w:rsidRPr="0020789B" w:rsidRDefault="00CD6486" w:rsidP="003F1360">
      <w:pPr>
        <w:ind w:firstLine="720"/>
      </w:pPr>
    </w:p>
    <w:p w14:paraId="2D80F75D" w14:textId="528FC8D6" w:rsidR="00CD6486" w:rsidRPr="0020789B" w:rsidRDefault="00CD6486" w:rsidP="003F1360">
      <w:pPr>
        <w:ind w:firstLine="720"/>
      </w:pPr>
      <w:r w:rsidRPr="0020789B">
        <w:t>Vienlaikus izsakām šādus priekšlikumus:</w:t>
      </w:r>
    </w:p>
    <w:p w14:paraId="71188DE2" w14:textId="4A8CA8B1" w:rsidR="00CD6486" w:rsidRPr="0020789B" w:rsidRDefault="00CD6486" w:rsidP="003F1360">
      <w:pPr>
        <w:ind w:firstLine="720"/>
      </w:pPr>
      <w:r w:rsidRPr="0020789B">
        <w:t xml:space="preserve">1. Plāna projekta II sadaļas 3. nodaļas 4. </w:t>
      </w:r>
      <w:proofErr w:type="spellStart"/>
      <w:r w:rsidRPr="0020789B">
        <w:t>apakšmērķa</w:t>
      </w:r>
      <w:proofErr w:type="spellEnd"/>
      <w:r w:rsidRPr="0020789B">
        <w:t xml:space="preserve"> iv. apakšpunktā, </w:t>
      </w:r>
      <w:r w:rsidR="00BB18F9" w:rsidRPr="0020789B">
        <w:t>p</w:t>
      </w:r>
      <w:r w:rsidRPr="0020789B">
        <w:t>lāna projekta II sadaļas 3. nodaļas 4. apakšmērķa ceturtajā rindkopā (skat. 41. lp. pirmā rindkop</w:t>
      </w:r>
      <w:r w:rsidR="00BB18F9" w:rsidRPr="0020789B">
        <w:t>u</w:t>
      </w:r>
      <w:r w:rsidRPr="0020789B">
        <w:t xml:space="preserve">), kā arī citviet </w:t>
      </w:r>
      <w:r w:rsidR="00BB18F9" w:rsidRPr="0020789B">
        <w:t>p</w:t>
      </w:r>
      <w:r w:rsidRPr="0020789B">
        <w:t xml:space="preserve">lāna projektā iepriekš norādītā saīsinājumā vietā “OECD WGB” joprojām tiek lietots tā paplašinātais nosaukums OECD Pretkukuļošanas konvencijas darba grupa. Ievērojot minēto, aicinām </w:t>
      </w:r>
      <w:r w:rsidR="00BB18F9" w:rsidRPr="0020789B">
        <w:t>p</w:t>
      </w:r>
      <w:r w:rsidRPr="0020789B">
        <w:t>lāna projektā vārdus “</w:t>
      </w:r>
      <w:bookmarkStart w:id="5" w:name="_Hlk77083601"/>
      <w:r w:rsidRPr="0020789B">
        <w:t>Pretkukuļošanas konvencijas darba grupas</w:t>
      </w:r>
      <w:bookmarkEnd w:id="5"/>
      <w:r w:rsidRPr="0020789B">
        <w:t xml:space="preserve">” aizstāt ar abreviatūru “WGB” atbilstoši </w:t>
      </w:r>
      <w:r w:rsidR="00BB18F9" w:rsidRPr="0020789B">
        <w:t>p</w:t>
      </w:r>
      <w:r w:rsidRPr="0020789B">
        <w:t>lāna projekta 4. lp. noteiktajai abreviatūrai.</w:t>
      </w:r>
    </w:p>
    <w:p w14:paraId="6C3442FF" w14:textId="41D15828" w:rsidR="00CD6486" w:rsidRPr="0020789B" w:rsidRDefault="00CD6486" w:rsidP="003F1360">
      <w:pPr>
        <w:ind w:firstLine="720"/>
      </w:pPr>
      <w:r w:rsidRPr="0020789B">
        <w:t>2. Plāna projekta II sadaļas 3. nodaļas 4. </w:t>
      </w:r>
      <w:proofErr w:type="spellStart"/>
      <w:r w:rsidRPr="0020789B">
        <w:t>apakšmērķa</w:t>
      </w:r>
      <w:proofErr w:type="spellEnd"/>
      <w:r w:rsidRPr="0020789B">
        <w:t xml:space="preserve"> vi. apakšpunkta 3. teikumu lūdzam izteikt šādā redakcijā: “Pamatnostādņu darbības laikā TM sadarbībā ar citām atbildīgajām iestādēm nodrošinājusi Latvijas atbilstības OECD Konvencijai 2. un 3. fāzes novērtēšanu.”. Vienlaikus aicinām </w:t>
      </w:r>
      <w:r w:rsidR="00BB18F9" w:rsidRPr="0020789B">
        <w:t>p</w:t>
      </w:r>
      <w:r w:rsidRPr="0020789B">
        <w:t xml:space="preserve">lāna projekta tekstā abreviatūru “OECD Konvencija” lietot vienveidīgi atbilstoši tam, kā tas noteikts </w:t>
      </w:r>
      <w:r w:rsidR="00BB18F9" w:rsidRPr="0020789B">
        <w:t>p</w:t>
      </w:r>
      <w:r w:rsidRPr="0020789B">
        <w:t>lāna projekta 4. lp.</w:t>
      </w:r>
    </w:p>
    <w:p w14:paraId="727AFD62" w14:textId="1B35A9E7" w:rsidR="00CD6486" w:rsidRPr="0020789B" w:rsidRDefault="00CD6486" w:rsidP="003F1360">
      <w:pPr>
        <w:ind w:firstLine="720"/>
      </w:pPr>
      <w:r w:rsidRPr="0020789B">
        <w:t xml:space="preserve">3. Aicinām precizēt </w:t>
      </w:r>
      <w:r w:rsidR="00BB18F9" w:rsidRPr="0020789B">
        <w:t>p</w:t>
      </w:r>
      <w:r w:rsidRPr="0020789B">
        <w:t>lāna projekta II sadaļas 3. nodaļas 4. apakšmērķa trešo rindkopu (skat. 40. lp. pēdējā rindkop</w:t>
      </w:r>
      <w:r w:rsidR="00BB18F9" w:rsidRPr="0020789B">
        <w:t>u</w:t>
      </w:r>
      <w:r w:rsidRPr="0020789B">
        <w:t>), izsakot to šādā redakcijā: “Būtisks Pamatnostādņu uzdevums, kas savu aktualitāti nav zaudējis, ir nodrošināt Latvijas tiesību aktu un to piemērošanas prakses atbilstību OECD Konvencijai. Iepriekšējo novērtējumu ietveros (1., 2. un 3.fāze) šīs organizācijas izvirzītās rekomendācijas Latviju mudina [..].”</w:t>
      </w:r>
    </w:p>
    <w:p w14:paraId="20DA3538" w14:textId="1272BB4A" w:rsidR="00CD6486" w:rsidRPr="0020789B" w:rsidRDefault="00CD6486" w:rsidP="003F1360">
      <w:pPr>
        <w:ind w:firstLine="720"/>
      </w:pPr>
      <w:r w:rsidRPr="0020789B">
        <w:t xml:space="preserve">4. </w:t>
      </w:r>
      <w:r w:rsidR="00F8203C" w:rsidRPr="0020789B">
        <w:t xml:space="preserve">Aicinām papildināt </w:t>
      </w:r>
      <w:r w:rsidR="00BB18F9" w:rsidRPr="0020789B">
        <w:t>p</w:t>
      </w:r>
      <w:r w:rsidR="00F8203C" w:rsidRPr="0020789B">
        <w:t>lāna projekta II sadaļas 3. nodaļu pēc vārdiem “kā arī stiprināt tiesiskumu, veicināt ekonomisko izaugsmi, nodrošināt caurspīdīgu lēmumu pieņemšanas procesu un stabilu tiesisko vidi.” (42. lp.) ar jaunu rindkopu šādā redakcijā: “OECD WGB savā 2021. gada oktobra plenārsēdē plāno izskatīt Latvijas ziņojumu par paveikto 3. fāzes rekomendāciju izpildē. Latvijas ziņojums par 3. fāzes rekomendāciju izpildi tika sagatavots un iesniegts OECD WGB Sekretariātam 2021. gada 21. jūnijā.”.</w:t>
      </w:r>
    </w:p>
    <w:p w14:paraId="36974FF7" w14:textId="664C7689" w:rsidR="00F8203C" w:rsidRPr="0020789B" w:rsidRDefault="00F8203C" w:rsidP="003F1360">
      <w:pPr>
        <w:ind w:firstLine="720"/>
      </w:pPr>
      <w:r w:rsidRPr="0020789B">
        <w:t xml:space="preserve">5. </w:t>
      </w:r>
      <w:bookmarkStart w:id="6" w:name="_Hlk77071122"/>
      <w:r w:rsidRPr="0020789B">
        <w:t xml:space="preserve">Plāna projekta III sadaļā pie 4. apakšmērķa </w:t>
      </w:r>
      <w:bookmarkEnd w:id="6"/>
      <w:r w:rsidRPr="0020789B">
        <w:t>lūdzam precizēt 9. Rīcības virziena nosaukumu, izsakot to šādā redakcijā: “Efektīvu, proporcionālu un atturošu administratīvo vai kriminālo sodu par izdarītajiem pārkāpumiem piemērošana”, ņemot vērā, ka attiecīgajā rīcības virzienā netiek piedāvāta sodu pārskatīšana, jo sodi likumos jau ir noteikti.</w:t>
      </w:r>
    </w:p>
    <w:p w14:paraId="15940F4E" w14:textId="470E74EC" w:rsidR="00F8203C" w:rsidRPr="0020789B" w:rsidRDefault="00F8203C" w:rsidP="003F1360">
      <w:pPr>
        <w:ind w:firstLine="720"/>
      </w:pPr>
      <w:r w:rsidRPr="0020789B">
        <w:t>7. Plāna projekta III sadaļas 4. apakšmērķa 11. Rīcības virziens noteic preventīvo pretkorupcijas organizāciju efektīvu darbību un neatkarības nodrošināšanu, t.sk. paplašinot un izplatot zināšanas par korupcijas novēršanu. Uzskatām, ka 11. Rīcības virziena nosaukums neatbilst zem tā ietvertajiem pasākumiem, jo tie visi ir vērsti uz apkarošanu, proti tiesībaizsardzības iestādēm – prokuratūru, izmeklēšanas iestādēm.</w:t>
      </w:r>
    </w:p>
    <w:p w14:paraId="10A84DF1" w14:textId="2B40F5B4" w:rsidR="00F8203C" w:rsidRPr="0020789B" w:rsidRDefault="00F8203C" w:rsidP="003F1360">
      <w:pPr>
        <w:ind w:firstLine="720"/>
      </w:pPr>
      <w:r w:rsidRPr="0020789B">
        <w:t xml:space="preserve">8. </w:t>
      </w:r>
      <w:bookmarkStart w:id="7" w:name="_Hlk77072297"/>
      <w:r w:rsidRPr="0020789B">
        <w:t>Plāna projekta</w:t>
      </w:r>
      <w:r w:rsidR="00B95FDD" w:rsidRPr="0020789B">
        <w:t xml:space="preserve"> III sadaļas</w:t>
      </w:r>
      <w:r w:rsidRPr="0020789B">
        <w:t xml:space="preserve"> 11.3. </w:t>
      </w:r>
      <w:r w:rsidR="00BB18F9" w:rsidRPr="0020789B">
        <w:t>apakšpunktā ietvertais</w:t>
      </w:r>
      <w:r w:rsidRPr="0020789B">
        <w:t xml:space="preserve"> </w:t>
      </w:r>
      <w:bookmarkEnd w:id="7"/>
      <w:r w:rsidRPr="0020789B">
        <w:t xml:space="preserve">pasākums noteic nepieciešamību sekmēt korupcijas un ar to saistīto noziegumu novēršanu un izmeklēšanu valsts un pašvaldību sektorā, īpaši izmantojot publiskās un privātās partnerības sniegtās iespējas, tostarp Noziedzīgi iegūtu līdzekļu legalizācijas un terorisma un </w:t>
      </w:r>
      <w:proofErr w:type="spellStart"/>
      <w:r w:rsidRPr="0020789B">
        <w:t>proliferācijas</w:t>
      </w:r>
      <w:proofErr w:type="spellEnd"/>
      <w:r w:rsidRPr="0020789B">
        <w:t xml:space="preserve"> finansēšanas novēršanas likuma 55. pantā nostiprināto Sadarbības koordinācijas grupu kā stratēģisku, tā operacionālu mērķu sasniegšanai. </w:t>
      </w:r>
      <w:r w:rsidR="00BB18F9" w:rsidRPr="0020789B">
        <w:t>Tieslietu ministrijas</w:t>
      </w:r>
      <w:r w:rsidRPr="0020789B">
        <w:t xml:space="preserve"> ieskatā attiecīgā pasākuma redakcija nav precīza. Proti, to iespējams interpretēt arī tādējādi, ka bez Noziedzīgi iegūtu līdzekļu legalizācijas un terorisma un </w:t>
      </w:r>
      <w:proofErr w:type="spellStart"/>
      <w:r w:rsidRPr="0020789B">
        <w:t>proliferācijas</w:t>
      </w:r>
      <w:proofErr w:type="spellEnd"/>
      <w:r w:rsidRPr="0020789B">
        <w:t xml:space="preserve"> finansēšanas novēršanas likuma 55. pantā norādītajām pastāv vēl kādas privātās un publiskās partnerības platformas šajā jomā.</w:t>
      </w:r>
    </w:p>
    <w:p w14:paraId="23312593" w14:textId="5053CB57" w:rsidR="00F8203C" w:rsidRPr="0020789B" w:rsidRDefault="00F8203C" w:rsidP="003F1360">
      <w:pPr>
        <w:ind w:firstLine="720"/>
      </w:pPr>
      <w:r w:rsidRPr="0020789B">
        <w:t xml:space="preserve">9. Pasākumu plānā ir norādīts, ka ārvalstu amatpersonu kukuļošanas apkarošana būs prioritāte 2021.-2024. gadā, tomēr pasākumos tas specifiski nav atspoguļots. Līdz ar to lūdzam to </w:t>
      </w:r>
      <w:r w:rsidRPr="0020789B">
        <w:lastRenderedPageBreak/>
        <w:t>atbilstoši precizēt, skaidri ietverot arī atsauces uz ārvalstu amatpersonas kukuļošanas apkarošanas efektivizāciju, nodrošinot apmācības visām tām kompetentajām iestādēm, kas var šādus noziedzīgus nodarījumus atklāt, piemēram, F</w:t>
      </w:r>
      <w:r w:rsidR="00F9214E" w:rsidRPr="0020789B">
        <w:t>inanšu izlūkošanas dienests</w:t>
      </w:r>
      <w:r w:rsidRPr="0020789B">
        <w:t>, zvērināti revidenti, V</w:t>
      </w:r>
      <w:r w:rsidR="00F9214E" w:rsidRPr="0020789B">
        <w:t>alsts ieņēmumu dienests</w:t>
      </w:r>
      <w:r w:rsidRPr="0020789B">
        <w:t xml:space="preserve">, </w:t>
      </w:r>
      <w:proofErr w:type="spellStart"/>
      <w:r w:rsidRPr="0020789B">
        <w:t>Altum</w:t>
      </w:r>
      <w:proofErr w:type="spellEnd"/>
      <w:r w:rsidRPr="0020789B">
        <w:t>, Ā</w:t>
      </w:r>
      <w:r w:rsidR="00F9214E" w:rsidRPr="0020789B">
        <w:t>rlietu ministrija</w:t>
      </w:r>
      <w:r w:rsidRPr="0020789B">
        <w:t>, kā arī nodrošinot efektīvu šādu noziedzīgo nodarījumu izmeklēšanu un kriminālvajāšanu.</w:t>
      </w:r>
    </w:p>
    <w:p w14:paraId="2B1EEC94" w14:textId="5C66A3AF" w:rsidR="00F8203C" w:rsidRPr="0020789B" w:rsidRDefault="00F8203C" w:rsidP="00F8203C"/>
    <w:p w14:paraId="68A25A12" w14:textId="37665B27" w:rsidR="00F8203C" w:rsidRPr="0020789B" w:rsidRDefault="00F8203C" w:rsidP="00F8203C"/>
    <w:p w14:paraId="6CC3AF3F" w14:textId="33932B6C" w:rsidR="00F8203C" w:rsidRPr="0020789B" w:rsidRDefault="00F8203C" w:rsidP="00F8203C">
      <w:r w:rsidRPr="0020789B">
        <w:t>Valsts sekretāra vietniece</w:t>
      </w:r>
    </w:p>
    <w:p w14:paraId="2FF59B30" w14:textId="49E1AF2D" w:rsidR="00F8203C" w:rsidRPr="0020789B" w:rsidRDefault="00F8203C" w:rsidP="00F8203C">
      <w:r w:rsidRPr="0020789B">
        <w:t xml:space="preserve">tiesību politikas jautājumos </w:t>
      </w:r>
      <w:r w:rsidRPr="0020789B">
        <w:tab/>
      </w:r>
      <w:r w:rsidRPr="0020789B">
        <w:tab/>
      </w:r>
      <w:r w:rsidRPr="0020789B">
        <w:tab/>
      </w:r>
      <w:r w:rsidRPr="0020789B">
        <w:tab/>
      </w:r>
      <w:r w:rsidRPr="0020789B">
        <w:tab/>
      </w:r>
      <w:r w:rsidRPr="0020789B">
        <w:tab/>
      </w:r>
      <w:r w:rsidRPr="0020789B">
        <w:tab/>
      </w:r>
      <w:r w:rsidRPr="0020789B">
        <w:tab/>
        <w:t>L. Medina</w:t>
      </w:r>
    </w:p>
    <w:p w14:paraId="04C2890D" w14:textId="3610789D" w:rsidR="00F8203C" w:rsidRPr="0020789B" w:rsidRDefault="00F8203C" w:rsidP="00F8203C"/>
    <w:p w14:paraId="30EFDE0D" w14:textId="7D266958" w:rsidR="00F8203C" w:rsidRPr="0020789B" w:rsidRDefault="00F8203C" w:rsidP="00F8203C"/>
    <w:p w14:paraId="45A43FE4" w14:textId="4C0099B0" w:rsidR="00F8203C" w:rsidRPr="0020789B" w:rsidRDefault="00F8203C" w:rsidP="00F8203C">
      <w:pPr>
        <w:rPr>
          <w:sz w:val="20"/>
          <w:szCs w:val="20"/>
        </w:rPr>
      </w:pPr>
      <w:r w:rsidRPr="0020789B">
        <w:rPr>
          <w:sz w:val="20"/>
          <w:szCs w:val="20"/>
        </w:rPr>
        <w:t>Zane Pērkone</w:t>
      </w:r>
    </w:p>
    <w:p w14:paraId="4E14D4FF" w14:textId="658ECC61" w:rsidR="00F8203C" w:rsidRPr="0020789B" w:rsidRDefault="00F8203C" w:rsidP="00F8203C">
      <w:pPr>
        <w:rPr>
          <w:sz w:val="20"/>
          <w:szCs w:val="20"/>
        </w:rPr>
      </w:pPr>
      <w:r w:rsidRPr="0020789B">
        <w:rPr>
          <w:sz w:val="20"/>
          <w:szCs w:val="20"/>
        </w:rPr>
        <w:t>Valststiesību departamenta</w:t>
      </w:r>
    </w:p>
    <w:p w14:paraId="32438CCB" w14:textId="1AB4191D" w:rsidR="00F8203C" w:rsidRPr="0020789B" w:rsidRDefault="00F8203C" w:rsidP="00F8203C">
      <w:pPr>
        <w:rPr>
          <w:sz w:val="20"/>
          <w:szCs w:val="20"/>
        </w:rPr>
      </w:pPr>
      <w:r w:rsidRPr="0020789B">
        <w:rPr>
          <w:sz w:val="20"/>
          <w:szCs w:val="20"/>
        </w:rPr>
        <w:t>Konstitucionālo tiesību nodaļas juriste</w:t>
      </w:r>
    </w:p>
    <w:p w14:paraId="0A343180" w14:textId="49486EFB" w:rsidR="00F8203C" w:rsidRPr="0020789B" w:rsidRDefault="00F8203C" w:rsidP="00F8203C">
      <w:pPr>
        <w:rPr>
          <w:sz w:val="20"/>
          <w:szCs w:val="20"/>
        </w:rPr>
      </w:pPr>
      <w:r w:rsidRPr="0020789B">
        <w:rPr>
          <w:sz w:val="20"/>
          <w:szCs w:val="20"/>
        </w:rPr>
        <w:t xml:space="preserve">67036985, </w:t>
      </w:r>
      <w:hyperlink r:id="rId7" w:history="1">
        <w:r w:rsidR="00160599" w:rsidRPr="0020789B">
          <w:rPr>
            <w:rStyle w:val="Hipersaite"/>
            <w:color w:val="auto"/>
            <w:sz w:val="20"/>
            <w:szCs w:val="20"/>
          </w:rPr>
          <w:t>Zane.Perkone@tm.gov.lv</w:t>
        </w:r>
      </w:hyperlink>
    </w:p>
    <w:p w14:paraId="080A9DD1" w14:textId="71B8946A" w:rsidR="00160599" w:rsidRPr="0020789B" w:rsidRDefault="00160599" w:rsidP="00F8203C">
      <w:pPr>
        <w:rPr>
          <w:sz w:val="20"/>
          <w:szCs w:val="20"/>
        </w:rPr>
      </w:pPr>
    </w:p>
    <w:p w14:paraId="5122A6C9" w14:textId="5AADE73E" w:rsidR="00160599" w:rsidRPr="0020789B" w:rsidRDefault="00160599" w:rsidP="00F8203C">
      <w:pPr>
        <w:rPr>
          <w:sz w:val="20"/>
          <w:szCs w:val="20"/>
        </w:rPr>
      </w:pPr>
      <w:r w:rsidRPr="0020789B">
        <w:rPr>
          <w:sz w:val="20"/>
          <w:szCs w:val="20"/>
        </w:rPr>
        <w:t xml:space="preserve">Ieva Kristiāna </w:t>
      </w:r>
      <w:proofErr w:type="spellStart"/>
      <w:r w:rsidRPr="0020789B">
        <w:rPr>
          <w:sz w:val="20"/>
          <w:szCs w:val="20"/>
        </w:rPr>
        <w:t>Bleive</w:t>
      </w:r>
      <w:proofErr w:type="spellEnd"/>
    </w:p>
    <w:p w14:paraId="5C8D09BE" w14:textId="5AF172E5" w:rsidR="00160599" w:rsidRPr="0020789B" w:rsidRDefault="00160599" w:rsidP="00F8203C">
      <w:pPr>
        <w:rPr>
          <w:sz w:val="20"/>
          <w:szCs w:val="20"/>
        </w:rPr>
      </w:pPr>
      <w:r w:rsidRPr="0020789B">
        <w:rPr>
          <w:sz w:val="20"/>
          <w:szCs w:val="20"/>
        </w:rPr>
        <w:t>Krimināltiesību departamenta juriste</w:t>
      </w:r>
    </w:p>
    <w:p w14:paraId="7BD1B4DF" w14:textId="14EFE40B" w:rsidR="00160599" w:rsidRPr="0020789B" w:rsidRDefault="00160599" w:rsidP="00F8203C">
      <w:pPr>
        <w:rPr>
          <w:sz w:val="20"/>
          <w:szCs w:val="20"/>
        </w:rPr>
      </w:pPr>
      <w:r w:rsidRPr="0020789B">
        <w:rPr>
          <w:sz w:val="20"/>
          <w:szCs w:val="20"/>
        </w:rPr>
        <w:t xml:space="preserve">67036988, </w:t>
      </w:r>
      <w:hyperlink r:id="rId8" w:history="1">
        <w:r w:rsidRPr="0020789B">
          <w:rPr>
            <w:rStyle w:val="Hipersaite"/>
            <w:color w:val="auto"/>
            <w:sz w:val="20"/>
            <w:szCs w:val="20"/>
          </w:rPr>
          <w:t>Ieva.Kristiana.Bleive@tm.gov.lv</w:t>
        </w:r>
      </w:hyperlink>
    </w:p>
    <w:p w14:paraId="165C6D4F" w14:textId="3FF89B35" w:rsidR="00160599" w:rsidRPr="0020789B" w:rsidRDefault="00160599" w:rsidP="00F8203C">
      <w:pPr>
        <w:rPr>
          <w:sz w:val="20"/>
          <w:szCs w:val="20"/>
        </w:rPr>
      </w:pPr>
    </w:p>
    <w:p w14:paraId="3F670770" w14:textId="5BF59C9C" w:rsidR="00541A65" w:rsidRPr="0020789B" w:rsidRDefault="00541A65" w:rsidP="00F8203C">
      <w:pPr>
        <w:rPr>
          <w:sz w:val="20"/>
          <w:szCs w:val="20"/>
        </w:rPr>
      </w:pPr>
      <w:r w:rsidRPr="0020789B">
        <w:rPr>
          <w:sz w:val="20"/>
          <w:szCs w:val="20"/>
        </w:rPr>
        <w:t>Diāna Škavronska</w:t>
      </w:r>
    </w:p>
    <w:p w14:paraId="7885F27F" w14:textId="09C35DA5" w:rsidR="00541A65" w:rsidRPr="0020789B" w:rsidRDefault="00541A65" w:rsidP="00F8203C">
      <w:pPr>
        <w:rPr>
          <w:sz w:val="20"/>
          <w:szCs w:val="20"/>
        </w:rPr>
      </w:pPr>
      <w:r w:rsidRPr="0020789B">
        <w:rPr>
          <w:sz w:val="20"/>
          <w:szCs w:val="20"/>
        </w:rPr>
        <w:t>Nozaru politikas departamenta</w:t>
      </w:r>
    </w:p>
    <w:p w14:paraId="26EC26D5" w14:textId="2215AE32" w:rsidR="007357B8" w:rsidRPr="0020789B" w:rsidRDefault="007357B8" w:rsidP="00F8203C">
      <w:pPr>
        <w:rPr>
          <w:sz w:val="20"/>
          <w:szCs w:val="20"/>
        </w:rPr>
      </w:pPr>
      <w:r w:rsidRPr="0020789B">
        <w:rPr>
          <w:sz w:val="20"/>
          <w:szCs w:val="20"/>
        </w:rPr>
        <w:t>Kriminālsodu izpildes politikas nodaļas juriste</w:t>
      </w:r>
    </w:p>
    <w:p w14:paraId="05617A92" w14:textId="4A4392D3" w:rsidR="00541A65" w:rsidRPr="0020789B" w:rsidRDefault="00541A65" w:rsidP="00F8203C">
      <w:pPr>
        <w:rPr>
          <w:sz w:val="20"/>
          <w:szCs w:val="20"/>
        </w:rPr>
      </w:pPr>
      <w:r w:rsidRPr="0020789B">
        <w:rPr>
          <w:sz w:val="20"/>
          <w:szCs w:val="20"/>
        </w:rPr>
        <w:t xml:space="preserve">67036751, </w:t>
      </w:r>
      <w:hyperlink r:id="rId9" w:history="1">
        <w:r w:rsidRPr="0020789B">
          <w:rPr>
            <w:rStyle w:val="Hipersaite"/>
            <w:color w:val="auto"/>
            <w:sz w:val="20"/>
            <w:szCs w:val="20"/>
          </w:rPr>
          <w:t>Diana.Skavronska@tm.gov.lv</w:t>
        </w:r>
      </w:hyperlink>
    </w:p>
    <w:p w14:paraId="48871F95" w14:textId="7B5530C2" w:rsidR="00541A65" w:rsidRPr="0020789B" w:rsidRDefault="00541A65" w:rsidP="00F8203C">
      <w:pPr>
        <w:rPr>
          <w:sz w:val="20"/>
          <w:szCs w:val="20"/>
        </w:rPr>
      </w:pPr>
    </w:p>
    <w:p w14:paraId="0E3C7246" w14:textId="2909E5E5" w:rsidR="00541A65" w:rsidRPr="0020789B" w:rsidRDefault="00541A65" w:rsidP="00F8203C">
      <w:pPr>
        <w:rPr>
          <w:sz w:val="20"/>
          <w:szCs w:val="20"/>
        </w:rPr>
      </w:pPr>
      <w:r w:rsidRPr="0020789B">
        <w:rPr>
          <w:sz w:val="20"/>
          <w:szCs w:val="20"/>
        </w:rPr>
        <w:t>Maija Orupa</w:t>
      </w:r>
    </w:p>
    <w:p w14:paraId="7BC5434D" w14:textId="440A37D5" w:rsidR="00541A65" w:rsidRPr="0020789B" w:rsidRDefault="00541A65" w:rsidP="00F8203C">
      <w:pPr>
        <w:rPr>
          <w:sz w:val="20"/>
          <w:szCs w:val="20"/>
        </w:rPr>
      </w:pPr>
      <w:r w:rsidRPr="0020789B">
        <w:rPr>
          <w:sz w:val="20"/>
          <w:szCs w:val="20"/>
        </w:rPr>
        <w:t>Tiesu administrācijas</w:t>
      </w:r>
    </w:p>
    <w:p w14:paraId="570CCB4E" w14:textId="135DE224" w:rsidR="00541A65" w:rsidRPr="0020789B" w:rsidRDefault="00541A65" w:rsidP="00F8203C">
      <w:pPr>
        <w:rPr>
          <w:sz w:val="20"/>
          <w:szCs w:val="20"/>
        </w:rPr>
      </w:pPr>
      <w:r w:rsidRPr="0020789B">
        <w:rPr>
          <w:sz w:val="20"/>
          <w:szCs w:val="20"/>
        </w:rPr>
        <w:t>Darbības risku vadītāja</w:t>
      </w:r>
    </w:p>
    <w:p w14:paraId="13B93601" w14:textId="73C096BB" w:rsidR="00541A65" w:rsidRPr="0020789B" w:rsidRDefault="00541A65" w:rsidP="00F8203C">
      <w:pPr>
        <w:rPr>
          <w:sz w:val="20"/>
          <w:szCs w:val="20"/>
        </w:rPr>
      </w:pPr>
      <w:r w:rsidRPr="0020789B">
        <w:rPr>
          <w:sz w:val="20"/>
          <w:szCs w:val="20"/>
        </w:rPr>
        <w:t xml:space="preserve">29593217, </w:t>
      </w:r>
      <w:hyperlink r:id="rId10" w:history="1">
        <w:r w:rsidRPr="0020789B">
          <w:rPr>
            <w:rStyle w:val="Hipersaite"/>
            <w:color w:val="auto"/>
            <w:sz w:val="20"/>
            <w:szCs w:val="20"/>
          </w:rPr>
          <w:t>Maija.Orupa@ta.gov.lv</w:t>
        </w:r>
      </w:hyperlink>
    </w:p>
    <w:p w14:paraId="10C56459" w14:textId="77777777" w:rsidR="007357B8" w:rsidRPr="0020789B" w:rsidRDefault="007357B8" w:rsidP="007357B8">
      <w:pPr>
        <w:rPr>
          <w:sz w:val="20"/>
          <w:szCs w:val="20"/>
        </w:rPr>
      </w:pPr>
    </w:p>
    <w:p w14:paraId="5F42607C" w14:textId="7FA77661" w:rsidR="007357B8" w:rsidRPr="0020789B" w:rsidRDefault="007357B8" w:rsidP="007357B8">
      <w:pPr>
        <w:rPr>
          <w:sz w:val="20"/>
          <w:szCs w:val="20"/>
        </w:rPr>
      </w:pPr>
      <w:r w:rsidRPr="0020789B">
        <w:rPr>
          <w:sz w:val="20"/>
          <w:szCs w:val="20"/>
        </w:rPr>
        <w:t xml:space="preserve">Anna </w:t>
      </w:r>
      <w:proofErr w:type="spellStart"/>
      <w:r w:rsidRPr="0020789B">
        <w:rPr>
          <w:sz w:val="20"/>
          <w:szCs w:val="20"/>
        </w:rPr>
        <w:t>Inša</w:t>
      </w:r>
      <w:proofErr w:type="spellEnd"/>
    </w:p>
    <w:p w14:paraId="56757573" w14:textId="307FF6AA" w:rsidR="007357B8" w:rsidRPr="0020789B" w:rsidRDefault="007357B8" w:rsidP="007357B8">
      <w:pPr>
        <w:rPr>
          <w:sz w:val="20"/>
          <w:szCs w:val="20"/>
        </w:rPr>
      </w:pPr>
      <w:r w:rsidRPr="0020789B">
        <w:rPr>
          <w:sz w:val="20"/>
          <w:szCs w:val="20"/>
        </w:rPr>
        <w:t>Datu valsts inspekcijas</w:t>
      </w:r>
    </w:p>
    <w:p w14:paraId="38269221" w14:textId="3DD76E49" w:rsidR="007357B8" w:rsidRPr="0020789B" w:rsidRDefault="007357B8" w:rsidP="007357B8">
      <w:pPr>
        <w:rPr>
          <w:sz w:val="20"/>
          <w:szCs w:val="20"/>
        </w:rPr>
      </w:pPr>
      <w:r w:rsidRPr="0020789B">
        <w:rPr>
          <w:sz w:val="20"/>
          <w:szCs w:val="20"/>
        </w:rPr>
        <w:t>Juridiskās nodaļas juriste</w:t>
      </w:r>
    </w:p>
    <w:p w14:paraId="107C5DCD" w14:textId="77777777" w:rsidR="007357B8" w:rsidRPr="0020789B" w:rsidRDefault="007357B8" w:rsidP="007357B8">
      <w:pPr>
        <w:rPr>
          <w:sz w:val="20"/>
          <w:szCs w:val="20"/>
        </w:rPr>
      </w:pPr>
      <w:r w:rsidRPr="0020789B">
        <w:rPr>
          <w:sz w:val="20"/>
          <w:szCs w:val="20"/>
        </w:rPr>
        <w:t xml:space="preserve">67686087, </w:t>
      </w:r>
      <w:hyperlink r:id="rId11" w:history="1">
        <w:r w:rsidRPr="0020789B">
          <w:rPr>
            <w:rStyle w:val="Hipersaite"/>
            <w:color w:val="auto"/>
            <w:sz w:val="20"/>
            <w:szCs w:val="20"/>
          </w:rPr>
          <w:t>Anna.Insa@dvi.gov.lv</w:t>
        </w:r>
      </w:hyperlink>
    </w:p>
    <w:p w14:paraId="2667D150" w14:textId="77777777" w:rsidR="00541A65" w:rsidRPr="0020789B" w:rsidRDefault="00541A65" w:rsidP="00F8203C">
      <w:pPr>
        <w:rPr>
          <w:sz w:val="20"/>
          <w:szCs w:val="20"/>
        </w:rPr>
      </w:pPr>
    </w:p>
    <w:sectPr w:rsidR="00541A65" w:rsidRPr="0020789B" w:rsidSect="00A34ACB">
      <w:headerReference w:type="default" r:id="rId12"/>
      <w:footerReference w:type="default" r:id="rId13"/>
      <w:headerReference w:type="first" r:id="rId14"/>
      <w:footerReference w:type="first" r:id="rId15"/>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01104" w14:textId="77777777" w:rsidR="00321236" w:rsidRDefault="00321236">
      <w:r>
        <w:separator/>
      </w:r>
    </w:p>
  </w:endnote>
  <w:endnote w:type="continuationSeparator" w:id="0">
    <w:p w14:paraId="463FD8EF" w14:textId="77777777" w:rsidR="00321236" w:rsidRDefault="00321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B737C" w14:textId="6295E93B" w:rsidR="00F134BD" w:rsidRPr="00C93FFF" w:rsidRDefault="00C93FFF">
    <w:pPr>
      <w:pStyle w:val="Kjene"/>
      <w:rPr>
        <w:sz w:val="20"/>
        <w:szCs w:val="20"/>
      </w:rPr>
    </w:pPr>
    <w:r w:rsidRPr="00C93FFF">
      <w:rPr>
        <w:sz w:val="20"/>
        <w:szCs w:val="20"/>
      </w:rPr>
      <w:t>TMAtz_1</w:t>
    </w:r>
    <w:r w:rsidR="00104E0C">
      <w:rPr>
        <w:sz w:val="20"/>
        <w:szCs w:val="20"/>
      </w:rPr>
      <w:t>6</w:t>
    </w:r>
    <w:r w:rsidRPr="00C93FFF">
      <w:rPr>
        <w:sz w:val="20"/>
        <w:szCs w:val="20"/>
      </w:rPr>
      <w:t>0721_KNAB_VSS_612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45C0" w14:textId="0029B8AC" w:rsidR="00F134BD" w:rsidRPr="00C93FFF" w:rsidRDefault="00C93FFF">
    <w:pPr>
      <w:pStyle w:val="Kjene"/>
      <w:rPr>
        <w:sz w:val="20"/>
        <w:szCs w:val="20"/>
      </w:rPr>
    </w:pPr>
    <w:r w:rsidRPr="00C93FFF">
      <w:rPr>
        <w:sz w:val="20"/>
        <w:szCs w:val="20"/>
      </w:rPr>
      <w:t>TMAtz_1</w:t>
    </w:r>
    <w:r w:rsidR="00104E0C">
      <w:rPr>
        <w:sz w:val="20"/>
        <w:szCs w:val="20"/>
      </w:rPr>
      <w:t>6</w:t>
    </w:r>
    <w:r w:rsidRPr="00C93FFF">
      <w:rPr>
        <w:sz w:val="20"/>
        <w:szCs w:val="20"/>
      </w:rPr>
      <w:t>0721_KNAB_VSS_612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21DA3" w14:textId="77777777" w:rsidR="00321236" w:rsidRDefault="00321236">
      <w:r>
        <w:separator/>
      </w:r>
    </w:p>
  </w:footnote>
  <w:footnote w:type="continuationSeparator" w:id="0">
    <w:p w14:paraId="1DB9AEA9" w14:textId="77777777" w:rsidR="00321236" w:rsidRDefault="003212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E7C1C2E" w14:textId="77777777" w:rsidR="007B3740" w:rsidRDefault="007B3740">
        <w:pPr>
          <w:pStyle w:val="Galvene"/>
          <w:jc w:val="center"/>
        </w:pPr>
        <w:r>
          <w:fldChar w:fldCharType="begin"/>
        </w:r>
        <w:r>
          <w:instrText>PAGE   \* MERGEFORMAT</w:instrText>
        </w:r>
        <w:r>
          <w:fldChar w:fldCharType="separate"/>
        </w:r>
        <w:r w:rsidR="00441F52">
          <w:rPr>
            <w:noProof/>
          </w:rPr>
          <w:t>2</w:t>
        </w:r>
        <w:r>
          <w:fldChar w:fldCharType="end"/>
        </w:r>
      </w:p>
    </w:sdtContent>
  </w:sdt>
  <w:p w14:paraId="5E7C1C2F" w14:textId="77777777" w:rsidR="006C6018" w:rsidRDefault="006C601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C30" w14:textId="77777777" w:rsidR="00A34ACB" w:rsidRDefault="00A34ACB" w:rsidP="00A34ACB">
    <w:pPr>
      <w:pStyle w:val="Galvene"/>
    </w:pPr>
  </w:p>
  <w:p w14:paraId="5E7C1C31" w14:textId="77777777" w:rsidR="00A34ACB" w:rsidRDefault="00E40434" w:rsidP="00A34ACB">
    <w:pPr>
      <w:pStyle w:val="Galvene"/>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A34ACB" w:rsidRDefault="00A34ACB" w:rsidP="00A34ACB">
    <w:pPr>
      <w:pStyle w:val="Galvene"/>
    </w:pPr>
  </w:p>
  <w:p w14:paraId="5E7C1C33" w14:textId="77777777" w:rsidR="00A34ACB" w:rsidRDefault="00A34ACB" w:rsidP="00A34ACB">
    <w:pPr>
      <w:pStyle w:val="Galvene"/>
    </w:pPr>
  </w:p>
  <w:p w14:paraId="5E7C1C34" w14:textId="77777777" w:rsidR="00A34ACB" w:rsidRDefault="00A34ACB" w:rsidP="00A34ACB">
    <w:pPr>
      <w:pStyle w:val="Galvene"/>
    </w:pPr>
  </w:p>
  <w:p w14:paraId="5E7C1C35" w14:textId="77777777" w:rsidR="00A34ACB" w:rsidRDefault="00A34ACB" w:rsidP="00A34ACB">
    <w:pPr>
      <w:pStyle w:val="Galvene"/>
    </w:pPr>
  </w:p>
  <w:p w14:paraId="5E7C1C36" w14:textId="77777777" w:rsidR="00A34ACB" w:rsidRDefault="00A34ACB" w:rsidP="00A34ACB">
    <w:pPr>
      <w:pStyle w:val="Galvene"/>
    </w:pPr>
  </w:p>
  <w:p w14:paraId="5E7C1C37" w14:textId="77777777" w:rsidR="00A34ACB" w:rsidRDefault="00A34ACB" w:rsidP="00A34ACB">
    <w:pPr>
      <w:pStyle w:val="Galvene"/>
    </w:pPr>
  </w:p>
  <w:p w14:paraId="5E7C1C38" w14:textId="77777777" w:rsidR="00A34ACB" w:rsidRDefault="00A34ACB" w:rsidP="00A34ACB">
    <w:pPr>
      <w:pStyle w:val="Galvene"/>
    </w:pPr>
  </w:p>
  <w:p w14:paraId="5E7C1C39" w14:textId="77777777" w:rsidR="00A34ACB" w:rsidRDefault="00A34ACB" w:rsidP="00A34ACB">
    <w:pPr>
      <w:pStyle w:val="Galvene"/>
    </w:pPr>
  </w:p>
  <w:p w14:paraId="5E7C1C3A" w14:textId="77777777" w:rsidR="00A34ACB" w:rsidRPr="00815277" w:rsidRDefault="00E40434" w:rsidP="00A34ACB">
    <w:pPr>
      <w:pStyle w:val="Galvene"/>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5E7C1C49" w14:textId="2E3D2505"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5E7C1C48"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5E7C1C49" w14:textId="2E3D2505">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Pr="006C6018" w:rsidR="00AB4E8A">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29C7D1B5">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AB4E8A" w:rsidRPr="00C836FF" w:rsidRDefault="00AB4E8A" w:rsidP="00AB4E8A">
    <w:pPr>
      <w:jc w:val="center"/>
      <w:rPr>
        <w:szCs w:val="24"/>
      </w:rPr>
    </w:pPr>
    <w:r w:rsidRPr="00C836FF">
      <w:rPr>
        <w:szCs w:val="24"/>
      </w:rPr>
      <w:t>Rīgā</w:t>
    </w:r>
  </w:p>
  <w:p w14:paraId="5E7C1C3C" w14:textId="77777777" w:rsidR="00AB4E8A" w:rsidRPr="00C836FF" w:rsidRDefault="00AB4E8A" w:rsidP="00AB4E8A">
    <w:pPr>
      <w:jc w:val="center"/>
      <w:rPr>
        <w:szCs w:val="24"/>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5E7C1C40" w14:textId="77777777" w:rsidTr="00A6153E">
      <w:tc>
        <w:tcPr>
          <w:tcW w:w="1810" w:type="dxa"/>
        </w:tcPr>
        <w:p w14:paraId="5E7C1C3D" w14:textId="41B37D0D" w:rsidR="00E11DA3" w:rsidRDefault="00887350" w:rsidP="00E11DA3">
          <w:pPr>
            <w:pStyle w:val="Galvene"/>
            <w:jc w:val="center"/>
            <w:rPr>
              <w:szCs w:val="24"/>
            </w:rPr>
          </w:pPr>
          <w:r>
            <w:t>19.07.2021</w:t>
          </w:r>
          <w:r>
            <w:rPr>
              <w:szCs w:val="24"/>
            </w:rPr>
            <w:t>.</w:t>
          </w:r>
        </w:p>
      </w:tc>
      <w:tc>
        <w:tcPr>
          <w:tcW w:w="420" w:type="dxa"/>
          <w:tcBorders>
            <w:bottom w:val="nil"/>
          </w:tcBorders>
        </w:tcPr>
        <w:p w14:paraId="5E7C1C3E" w14:textId="77777777" w:rsidR="00E11DA3" w:rsidRDefault="00E11DA3" w:rsidP="00E11DA3">
          <w:pPr>
            <w:pStyle w:val="Galvene"/>
            <w:rPr>
              <w:szCs w:val="24"/>
            </w:rPr>
          </w:pPr>
          <w:r>
            <w:rPr>
              <w:szCs w:val="24"/>
            </w:rPr>
            <w:t xml:space="preserve"> Nr.</w:t>
          </w:r>
        </w:p>
      </w:tc>
      <w:tc>
        <w:tcPr>
          <w:tcW w:w="1890" w:type="dxa"/>
        </w:tcPr>
        <w:p w14:paraId="5E7C1C3F" w14:textId="77777777" w:rsidR="00E11DA3" w:rsidRDefault="00E11DA3" w:rsidP="00E11DA3">
          <w:pPr>
            <w:pStyle w:val="Galvene"/>
            <w:jc w:val="center"/>
            <w:rPr>
              <w:szCs w:val="24"/>
            </w:rPr>
          </w:pPr>
          <w:r>
            <w:t>1-9.1/815</w:t>
          </w:r>
        </w:p>
      </w:tc>
    </w:tr>
  </w:tbl>
  <w:p w14:paraId="5E7C1C41" w14:textId="77777777" w:rsidR="00AB4E8A" w:rsidRPr="00887350" w:rsidRDefault="00AB4E8A" w:rsidP="00E11DA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4D3C"/>
    <w:rsid w:val="00030349"/>
    <w:rsid w:val="00044B2A"/>
    <w:rsid w:val="00052E14"/>
    <w:rsid w:val="00091ABD"/>
    <w:rsid w:val="000D6929"/>
    <w:rsid w:val="000E7F03"/>
    <w:rsid w:val="00104E0C"/>
    <w:rsid w:val="00124173"/>
    <w:rsid w:val="00160599"/>
    <w:rsid w:val="001646EE"/>
    <w:rsid w:val="0020789B"/>
    <w:rsid w:val="00275B9E"/>
    <w:rsid w:val="002A5B5D"/>
    <w:rsid w:val="002B3077"/>
    <w:rsid w:val="002E1474"/>
    <w:rsid w:val="002E34BA"/>
    <w:rsid w:val="00321236"/>
    <w:rsid w:val="00335032"/>
    <w:rsid w:val="00397F63"/>
    <w:rsid w:val="003F1360"/>
    <w:rsid w:val="003F6D26"/>
    <w:rsid w:val="00441F52"/>
    <w:rsid w:val="00493308"/>
    <w:rsid w:val="004A1B7E"/>
    <w:rsid w:val="004C51E0"/>
    <w:rsid w:val="004D717B"/>
    <w:rsid w:val="004F3931"/>
    <w:rsid w:val="005124FD"/>
    <w:rsid w:val="00517AB9"/>
    <w:rsid w:val="00535564"/>
    <w:rsid w:val="00541A65"/>
    <w:rsid w:val="005C179E"/>
    <w:rsid w:val="005E672B"/>
    <w:rsid w:val="00663C3A"/>
    <w:rsid w:val="006C1639"/>
    <w:rsid w:val="006C6018"/>
    <w:rsid w:val="006F4902"/>
    <w:rsid w:val="006F75BB"/>
    <w:rsid w:val="00724680"/>
    <w:rsid w:val="00726E06"/>
    <w:rsid w:val="007357B8"/>
    <w:rsid w:val="00747CCB"/>
    <w:rsid w:val="007704BD"/>
    <w:rsid w:val="007B3740"/>
    <w:rsid w:val="007B3BA5"/>
    <w:rsid w:val="007B48EC"/>
    <w:rsid w:val="007E0D0E"/>
    <w:rsid w:val="007E4D1F"/>
    <w:rsid w:val="007F6DA6"/>
    <w:rsid w:val="00815277"/>
    <w:rsid w:val="00816499"/>
    <w:rsid w:val="00830970"/>
    <w:rsid w:val="0087450D"/>
    <w:rsid w:val="00876C21"/>
    <w:rsid w:val="00883533"/>
    <w:rsid w:val="00887350"/>
    <w:rsid w:val="008A679D"/>
    <w:rsid w:val="008E3CED"/>
    <w:rsid w:val="00906460"/>
    <w:rsid w:val="00933176"/>
    <w:rsid w:val="00954D5A"/>
    <w:rsid w:val="0096342D"/>
    <w:rsid w:val="009D6B6A"/>
    <w:rsid w:val="00A34ACB"/>
    <w:rsid w:val="00A84FC7"/>
    <w:rsid w:val="00AB4E8A"/>
    <w:rsid w:val="00AC270F"/>
    <w:rsid w:val="00AE0499"/>
    <w:rsid w:val="00AF10A5"/>
    <w:rsid w:val="00B75021"/>
    <w:rsid w:val="00B95FDD"/>
    <w:rsid w:val="00BB087F"/>
    <w:rsid w:val="00BB18F9"/>
    <w:rsid w:val="00BC2A9C"/>
    <w:rsid w:val="00BF4512"/>
    <w:rsid w:val="00C04896"/>
    <w:rsid w:val="00C232E9"/>
    <w:rsid w:val="00C255D9"/>
    <w:rsid w:val="00C47F57"/>
    <w:rsid w:val="00C63ED1"/>
    <w:rsid w:val="00C836FF"/>
    <w:rsid w:val="00C93FFF"/>
    <w:rsid w:val="00CD6486"/>
    <w:rsid w:val="00CF0967"/>
    <w:rsid w:val="00D21FA6"/>
    <w:rsid w:val="00D55B4B"/>
    <w:rsid w:val="00D73648"/>
    <w:rsid w:val="00E11DA3"/>
    <w:rsid w:val="00E365CE"/>
    <w:rsid w:val="00E40434"/>
    <w:rsid w:val="00E44743"/>
    <w:rsid w:val="00EC3533"/>
    <w:rsid w:val="00F134BD"/>
    <w:rsid w:val="00F424C8"/>
    <w:rsid w:val="00F60586"/>
    <w:rsid w:val="00F8203C"/>
    <w:rsid w:val="00F9214E"/>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3F1360"/>
    <w:pPr>
      <w:ind w:left="720"/>
      <w:contextualSpacing/>
    </w:pPr>
  </w:style>
  <w:style w:type="character" w:styleId="Neatrisintapieminana">
    <w:name w:val="Unresolved Mention"/>
    <w:basedOn w:val="Noklusjumarindkopasfonts"/>
    <w:uiPriority w:val="99"/>
    <w:semiHidden/>
    <w:unhideWhenUsed/>
    <w:rsid w:val="00160599"/>
    <w:rPr>
      <w:color w:val="605E5C"/>
      <w:shd w:val="clear" w:color="auto" w:fill="E1DFDD"/>
    </w:rPr>
  </w:style>
  <w:style w:type="character" w:styleId="Komentraatsauce">
    <w:name w:val="annotation reference"/>
    <w:basedOn w:val="Noklusjumarindkopasfonts"/>
    <w:uiPriority w:val="99"/>
    <w:semiHidden/>
    <w:unhideWhenUsed/>
    <w:rsid w:val="002A5B5D"/>
    <w:rPr>
      <w:sz w:val="16"/>
      <w:szCs w:val="16"/>
    </w:rPr>
  </w:style>
  <w:style w:type="paragraph" w:styleId="Komentrateksts">
    <w:name w:val="annotation text"/>
    <w:basedOn w:val="Parasts"/>
    <w:link w:val="KomentratekstsRakstz"/>
    <w:uiPriority w:val="99"/>
    <w:semiHidden/>
    <w:unhideWhenUsed/>
    <w:rsid w:val="002A5B5D"/>
    <w:rPr>
      <w:sz w:val="20"/>
      <w:szCs w:val="20"/>
    </w:rPr>
  </w:style>
  <w:style w:type="character" w:customStyle="1" w:styleId="KomentratekstsRakstz">
    <w:name w:val="Komentāra teksts Rakstz."/>
    <w:basedOn w:val="Noklusjumarindkopasfonts"/>
    <w:link w:val="Komentrateksts"/>
    <w:uiPriority w:val="99"/>
    <w:semiHidden/>
    <w:rsid w:val="002A5B5D"/>
    <w:rPr>
      <w:rFonts w:ascii="Times New Roman" w:hAnsi="Times New Roman"/>
      <w:lang w:eastAsia="en-US"/>
    </w:rPr>
  </w:style>
  <w:style w:type="paragraph" w:styleId="Komentratma">
    <w:name w:val="annotation subject"/>
    <w:basedOn w:val="Komentrateksts"/>
    <w:next w:val="Komentrateksts"/>
    <w:link w:val="KomentratmaRakstz"/>
    <w:uiPriority w:val="99"/>
    <w:semiHidden/>
    <w:unhideWhenUsed/>
    <w:rsid w:val="002A5B5D"/>
    <w:rPr>
      <w:b/>
      <w:bCs/>
    </w:rPr>
  </w:style>
  <w:style w:type="character" w:customStyle="1" w:styleId="KomentratmaRakstz">
    <w:name w:val="Komentāra tēma Rakstz."/>
    <w:basedOn w:val="KomentratekstsRakstz"/>
    <w:link w:val="Komentratma"/>
    <w:uiPriority w:val="99"/>
    <w:semiHidden/>
    <w:rsid w:val="002A5B5D"/>
    <w:rPr>
      <w:rFonts w:ascii="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263436">
      <w:bodyDiv w:val="1"/>
      <w:marLeft w:val="0"/>
      <w:marRight w:val="0"/>
      <w:marTop w:val="0"/>
      <w:marBottom w:val="0"/>
      <w:divBdr>
        <w:top w:val="none" w:sz="0" w:space="0" w:color="auto"/>
        <w:left w:val="none" w:sz="0" w:space="0" w:color="auto"/>
        <w:bottom w:val="none" w:sz="0" w:space="0" w:color="auto"/>
        <w:right w:val="none" w:sz="0" w:space="0" w:color="auto"/>
      </w:divBdr>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eva.Kristiana.Bleive@tm.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ane.Perkone@tm.gov.lv"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na.Insa@dvi.gov.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Maija.Orupa@ta.gov.lv" TargetMode="External"/><Relationship Id="rId4" Type="http://schemas.openxmlformats.org/officeDocument/2006/relationships/webSettings" Target="webSettings.xml"/><Relationship Id="rId9" Type="http://schemas.openxmlformats.org/officeDocument/2006/relationships/hyperlink" Target="mailto:Diana.Skavronska@tm.gov.lv"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20622</Words>
  <Characters>11755</Characters>
  <Application>Microsoft Office Word</Application>
  <DocSecurity>0</DocSecurity>
  <Lines>97</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plāna projektu "Korupcijas novēršanas un apkarošanas pasākumu plāns 2021.-2024.gadam"</vt:lpstr>
      <vt:lpstr/>
    </vt:vector>
  </TitlesOfParts>
  <Company>Tieslietu Sektors</Company>
  <LinksUpToDate>false</LinksUpToDate>
  <CharactersWithSpaces>32313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plāna projektu "Korupcijas novēršanas un apkarošanas pasākumu plāns 2021.-2024.gadam"</dc:title>
  <dc:creator>Zane Pērkone</dc:creator>
  <cp:lastModifiedBy>L.Bernharde</cp:lastModifiedBy>
  <cp:revision>4</cp:revision>
  <cp:lastPrinted>2015-01-09T08:13:00Z</cp:lastPrinted>
  <dcterms:created xsi:type="dcterms:W3CDTF">2021-07-16T11:58:00Z</dcterms:created>
  <dcterms:modified xsi:type="dcterms:W3CDTF">2022-03-29T16:44:00Z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