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13C3" w14:textId="77777777" w:rsidR="00E55F9C" w:rsidRPr="00284044" w:rsidRDefault="00E55F9C" w:rsidP="00E55F9C">
      <w:pPr>
        <w:widowControl/>
        <w:jc w:val="left"/>
        <w:rPr>
          <w:rFonts w:eastAsia="Times New Roman"/>
          <w:szCs w:val="24"/>
        </w:rPr>
      </w:pPr>
      <w:r w:rsidRPr="00284044">
        <w:rPr>
          <w:rFonts w:eastAsia="Times New Roman"/>
          <w:szCs w:val="24"/>
        </w:rPr>
        <w:t xml:space="preserve">Uz </w:t>
      </w:r>
      <w:r>
        <w:rPr>
          <w:rFonts w:eastAsia="Times New Roman"/>
          <w:szCs w:val="24"/>
        </w:rPr>
        <w:t>3</w:t>
      </w:r>
      <w:r w:rsidRPr="00284044">
        <w:rPr>
          <w:rFonts w:eastAsia="Times New Roman"/>
          <w:szCs w:val="24"/>
        </w:rPr>
        <w:t>0.04.2020.       VSS-3</w:t>
      </w:r>
      <w:r>
        <w:rPr>
          <w:rFonts w:eastAsia="Times New Roman"/>
          <w:szCs w:val="24"/>
        </w:rPr>
        <w:t>56</w:t>
      </w:r>
      <w:r w:rsidRPr="00284044">
        <w:rPr>
          <w:rFonts w:eastAsia="Times New Roman"/>
          <w:szCs w:val="24"/>
        </w:rPr>
        <w:t xml:space="preserve"> (prot.Nr.1</w:t>
      </w:r>
      <w:r>
        <w:rPr>
          <w:rFonts w:eastAsia="Times New Roman"/>
          <w:szCs w:val="24"/>
        </w:rPr>
        <w:t>8</w:t>
      </w:r>
      <w:r w:rsidRPr="00284044">
        <w:rPr>
          <w:rFonts w:eastAsia="Times New Roman"/>
          <w:szCs w:val="24"/>
        </w:rPr>
        <w:t xml:space="preserve">  1</w:t>
      </w:r>
      <w:r>
        <w:rPr>
          <w:rFonts w:eastAsia="Times New Roman"/>
          <w:szCs w:val="24"/>
        </w:rPr>
        <w:t>3</w:t>
      </w:r>
      <w:r w:rsidRPr="00284044">
        <w:rPr>
          <w:rFonts w:eastAsia="Times New Roman"/>
          <w:szCs w:val="24"/>
        </w:rPr>
        <w:t>.§)</w:t>
      </w:r>
    </w:p>
    <w:p w14:paraId="644E13C4" w14:textId="77777777" w:rsidR="00E55F9C" w:rsidRPr="00284044" w:rsidRDefault="00E55F9C" w:rsidP="00E55F9C">
      <w:pPr>
        <w:pStyle w:val="NoSpacing"/>
      </w:pPr>
    </w:p>
    <w:p w14:paraId="644E13C5" w14:textId="77777777" w:rsidR="00E55F9C" w:rsidRDefault="00E55F9C" w:rsidP="00E55F9C">
      <w:pPr>
        <w:pStyle w:val="NoSpacing"/>
        <w:jc w:val="right"/>
        <w:rPr>
          <w:b/>
          <w:sz w:val="26"/>
          <w:szCs w:val="26"/>
        </w:rPr>
      </w:pPr>
      <w:r w:rsidRPr="00E55F9C">
        <w:rPr>
          <w:b/>
          <w:sz w:val="26"/>
          <w:szCs w:val="26"/>
        </w:rPr>
        <w:t>Vides aizsardzības un reģionālās</w:t>
      </w:r>
    </w:p>
    <w:p w14:paraId="644E13C6" w14:textId="77777777" w:rsidR="00E55F9C" w:rsidRPr="00284044" w:rsidRDefault="00E55F9C" w:rsidP="00E55F9C">
      <w:pPr>
        <w:pStyle w:val="NoSpacing"/>
        <w:jc w:val="right"/>
        <w:rPr>
          <w:b/>
          <w:sz w:val="26"/>
          <w:szCs w:val="26"/>
        </w:rPr>
      </w:pPr>
      <w:r w:rsidRPr="00E55F9C">
        <w:rPr>
          <w:b/>
          <w:sz w:val="26"/>
          <w:szCs w:val="26"/>
        </w:rPr>
        <w:t xml:space="preserve">attīstības </w:t>
      </w:r>
      <w:r w:rsidRPr="00284044">
        <w:rPr>
          <w:b/>
          <w:sz w:val="26"/>
          <w:szCs w:val="26"/>
        </w:rPr>
        <w:t>ministrijai</w:t>
      </w:r>
    </w:p>
    <w:p w14:paraId="644E13C7" w14:textId="77777777" w:rsidR="00E55F9C" w:rsidRPr="00284044" w:rsidRDefault="00E55F9C" w:rsidP="00E55F9C">
      <w:pPr>
        <w:pStyle w:val="NoSpacing"/>
        <w:rPr>
          <w:sz w:val="26"/>
          <w:szCs w:val="26"/>
        </w:rPr>
      </w:pPr>
    </w:p>
    <w:p w14:paraId="644E13C8" w14:textId="77777777" w:rsidR="00E55F9C" w:rsidRPr="00284044" w:rsidRDefault="00E55F9C" w:rsidP="00E55F9C"/>
    <w:p w14:paraId="644E13C9" w14:textId="77777777" w:rsidR="00E55F9C" w:rsidRDefault="00E55F9C" w:rsidP="00E55F9C">
      <w:pPr>
        <w:widowControl/>
        <w:jc w:val="left"/>
        <w:rPr>
          <w:rFonts w:eastAsia="Times New Roman"/>
          <w:i/>
          <w:sz w:val="26"/>
          <w:szCs w:val="26"/>
        </w:rPr>
      </w:pPr>
      <w:r w:rsidRPr="00284044">
        <w:rPr>
          <w:rFonts w:eastAsia="Times New Roman"/>
          <w:i/>
          <w:sz w:val="26"/>
          <w:szCs w:val="26"/>
        </w:rPr>
        <w:t xml:space="preserve">Par </w:t>
      </w:r>
      <w:r w:rsidRPr="00E55F9C">
        <w:rPr>
          <w:rFonts w:eastAsia="Times New Roman"/>
          <w:i/>
          <w:sz w:val="26"/>
          <w:szCs w:val="26"/>
        </w:rPr>
        <w:t xml:space="preserve">informatīvo ziņojumu “Par valsts informācijas </w:t>
      </w:r>
    </w:p>
    <w:p w14:paraId="644E13CA" w14:textId="77777777" w:rsidR="0080123B" w:rsidRDefault="00E55F9C" w:rsidP="00E55F9C">
      <w:pPr>
        <w:widowControl/>
        <w:jc w:val="left"/>
        <w:rPr>
          <w:rFonts w:eastAsia="Times New Roman"/>
          <w:i/>
          <w:sz w:val="26"/>
          <w:szCs w:val="26"/>
        </w:rPr>
      </w:pPr>
      <w:r w:rsidRPr="00E55F9C">
        <w:rPr>
          <w:rFonts w:eastAsia="Times New Roman"/>
          <w:i/>
          <w:sz w:val="26"/>
          <w:szCs w:val="26"/>
        </w:rPr>
        <w:t xml:space="preserve">un komunikācijas tehnoloģiju resursu un kompetenču </w:t>
      </w:r>
    </w:p>
    <w:p w14:paraId="644E13CB" w14:textId="77777777" w:rsidR="0080123B" w:rsidRDefault="00E55F9C" w:rsidP="00E55F9C">
      <w:pPr>
        <w:widowControl/>
        <w:jc w:val="left"/>
        <w:rPr>
          <w:rFonts w:eastAsia="Times New Roman"/>
          <w:i/>
          <w:sz w:val="26"/>
          <w:szCs w:val="26"/>
        </w:rPr>
      </w:pPr>
      <w:r w:rsidRPr="00E55F9C">
        <w:rPr>
          <w:rFonts w:eastAsia="Times New Roman"/>
          <w:i/>
          <w:sz w:val="26"/>
          <w:szCs w:val="26"/>
        </w:rPr>
        <w:t>konsolidāciju”</w:t>
      </w:r>
      <w:r w:rsidR="0080123B" w:rsidRPr="0080123B">
        <w:t xml:space="preserve"> </w:t>
      </w:r>
      <w:r w:rsidR="0080123B" w:rsidRPr="0080123B">
        <w:rPr>
          <w:rFonts w:eastAsia="Times New Roman"/>
          <w:i/>
          <w:sz w:val="26"/>
          <w:szCs w:val="26"/>
        </w:rPr>
        <w:t xml:space="preserve">un tam pievienoto Ministru kabineta </w:t>
      </w:r>
    </w:p>
    <w:p w14:paraId="644E13CC" w14:textId="77777777" w:rsidR="00E55F9C" w:rsidRDefault="0080123B" w:rsidP="00E55F9C">
      <w:pPr>
        <w:widowControl/>
        <w:jc w:val="left"/>
        <w:rPr>
          <w:rFonts w:eastAsia="Times New Roman"/>
          <w:i/>
          <w:sz w:val="26"/>
          <w:szCs w:val="26"/>
        </w:rPr>
      </w:pPr>
      <w:r w:rsidRPr="0080123B">
        <w:rPr>
          <w:rFonts w:eastAsia="Times New Roman"/>
          <w:i/>
          <w:sz w:val="26"/>
          <w:szCs w:val="26"/>
        </w:rPr>
        <w:t>sēdes protokollēmuma projektu</w:t>
      </w:r>
    </w:p>
    <w:p w14:paraId="644E13CD" w14:textId="77777777" w:rsidR="00E55F9C" w:rsidRPr="00284044" w:rsidRDefault="00E55F9C" w:rsidP="00E55F9C">
      <w:pPr>
        <w:widowControl/>
        <w:jc w:val="left"/>
        <w:rPr>
          <w:rFonts w:eastAsia="Times New Roman"/>
          <w:sz w:val="26"/>
          <w:szCs w:val="26"/>
        </w:rPr>
      </w:pPr>
    </w:p>
    <w:p w14:paraId="644E13CE" w14:textId="77777777" w:rsidR="00E55F9C" w:rsidRPr="00284044" w:rsidRDefault="00E55F9C" w:rsidP="00E55F9C">
      <w:pPr>
        <w:widowControl/>
        <w:jc w:val="left"/>
        <w:rPr>
          <w:rFonts w:eastAsia="Times New Roman"/>
          <w:sz w:val="26"/>
          <w:szCs w:val="26"/>
        </w:rPr>
      </w:pPr>
    </w:p>
    <w:p w14:paraId="644E13CF" w14:textId="77777777" w:rsidR="00E55F9C" w:rsidRPr="003D4B87" w:rsidRDefault="00E55F9C" w:rsidP="00E55F9C">
      <w:pPr>
        <w:widowControl/>
        <w:ind w:firstLine="720"/>
        <w:rPr>
          <w:rFonts w:eastAsia="Times New Roman"/>
          <w:sz w:val="26"/>
          <w:szCs w:val="26"/>
        </w:rPr>
      </w:pPr>
      <w:r w:rsidRPr="003D4B87">
        <w:rPr>
          <w:rFonts w:eastAsia="Times New Roman"/>
          <w:sz w:val="26"/>
          <w:szCs w:val="26"/>
        </w:rPr>
        <w:t xml:space="preserve">Tieslietu ministrija ir izskatījusi Vides aizsardzības un reģionālās attīstības ministrijas </w:t>
      </w:r>
      <w:r w:rsidR="002153A2">
        <w:rPr>
          <w:rFonts w:eastAsia="Times New Roman"/>
          <w:sz w:val="26"/>
          <w:szCs w:val="26"/>
        </w:rPr>
        <w:t xml:space="preserve">(turpmāk – VARAM) </w:t>
      </w:r>
      <w:r w:rsidRPr="003D4B87">
        <w:rPr>
          <w:rFonts w:eastAsia="Times New Roman"/>
          <w:sz w:val="26"/>
          <w:szCs w:val="26"/>
        </w:rPr>
        <w:t xml:space="preserve">sagatavoto informatīvo ziņojumu “Par valsts informācijas un komunikācijas tehnoloģiju resursu un kompetenču konsolidāciju” (turpmāk – informatīvais ziņojums) </w:t>
      </w:r>
      <w:r w:rsidR="0080123B" w:rsidRPr="003D4B87">
        <w:rPr>
          <w:rFonts w:eastAsia="Times New Roman"/>
          <w:sz w:val="26"/>
          <w:szCs w:val="26"/>
        </w:rPr>
        <w:t xml:space="preserve">un tam pievienoto Ministru kabineta sēdes protokollēmuma projektu </w:t>
      </w:r>
      <w:r w:rsidRPr="003D4B87">
        <w:rPr>
          <w:rFonts w:eastAsia="Times New Roman"/>
          <w:sz w:val="26"/>
          <w:szCs w:val="26"/>
        </w:rPr>
        <w:t xml:space="preserve">(turpmāk – projekts) un </w:t>
      </w:r>
      <w:r w:rsidR="00266824" w:rsidRPr="003D4B87">
        <w:rPr>
          <w:rFonts w:eastAsia="Times New Roman"/>
          <w:sz w:val="26"/>
          <w:szCs w:val="26"/>
        </w:rPr>
        <w:t>atbalst</w:t>
      </w:r>
      <w:r w:rsidR="00266824">
        <w:rPr>
          <w:rFonts w:eastAsia="Times New Roman"/>
          <w:sz w:val="26"/>
          <w:szCs w:val="26"/>
        </w:rPr>
        <w:t>a</w:t>
      </w:r>
      <w:r w:rsidR="00266824" w:rsidRPr="003D4B87">
        <w:rPr>
          <w:rFonts w:eastAsia="Times New Roman"/>
          <w:sz w:val="26"/>
          <w:szCs w:val="26"/>
        </w:rPr>
        <w:t xml:space="preserve"> </w:t>
      </w:r>
      <w:r w:rsidRPr="003D4B87">
        <w:rPr>
          <w:rFonts w:eastAsia="Times New Roman"/>
          <w:sz w:val="26"/>
          <w:szCs w:val="26"/>
        </w:rPr>
        <w:t>tā tālāku virzību, vienlaikus izsakot šādu</w:t>
      </w:r>
      <w:r w:rsidR="00C22D2F" w:rsidRPr="003D4B87">
        <w:rPr>
          <w:rFonts w:eastAsia="Times New Roman"/>
          <w:sz w:val="26"/>
          <w:szCs w:val="26"/>
        </w:rPr>
        <w:t>s</w:t>
      </w:r>
      <w:r w:rsidRPr="003D4B87">
        <w:rPr>
          <w:rFonts w:eastAsia="Times New Roman"/>
          <w:sz w:val="26"/>
          <w:szCs w:val="26"/>
        </w:rPr>
        <w:t xml:space="preserve"> iebildumu</w:t>
      </w:r>
      <w:r w:rsidR="00C22D2F" w:rsidRPr="003D4B87">
        <w:rPr>
          <w:rFonts w:eastAsia="Times New Roman"/>
          <w:sz w:val="26"/>
          <w:szCs w:val="26"/>
        </w:rPr>
        <w:t>s</w:t>
      </w:r>
      <w:r w:rsidRPr="003D4B87">
        <w:rPr>
          <w:rFonts w:eastAsia="Times New Roman"/>
          <w:sz w:val="26"/>
          <w:szCs w:val="26"/>
        </w:rPr>
        <w:t xml:space="preserve">. </w:t>
      </w:r>
    </w:p>
    <w:p w14:paraId="644E13D0" w14:textId="77777777" w:rsidR="003D4B87" w:rsidRDefault="001C66F4" w:rsidP="00E55F9C">
      <w:pPr>
        <w:widowControl/>
        <w:ind w:firstLine="720"/>
        <w:rPr>
          <w:rFonts w:eastAsia="Times New Roman"/>
          <w:sz w:val="26"/>
          <w:szCs w:val="26"/>
        </w:rPr>
      </w:pPr>
      <w:r>
        <w:rPr>
          <w:rFonts w:eastAsia="Times New Roman"/>
          <w:sz w:val="26"/>
          <w:szCs w:val="26"/>
        </w:rPr>
        <w:t xml:space="preserve">1. </w:t>
      </w:r>
      <w:r w:rsidR="00C22D2F" w:rsidRPr="003D4B87">
        <w:rPr>
          <w:rFonts w:eastAsia="Times New Roman"/>
          <w:sz w:val="26"/>
          <w:szCs w:val="26"/>
        </w:rPr>
        <w:t>Informatīvā z</w:t>
      </w:r>
      <w:r w:rsidR="007C5010" w:rsidRPr="003D4B87">
        <w:rPr>
          <w:rFonts w:eastAsia="Times New Roman"/>
          <w:sz w:val="26"/>
          <w:szCs w:val="26"/>
        </w:rPr>
        <w:t>iņojuma 5.</w:t>
      </w:r>
      <w:r w:rsidR="00C22D2F" w:rsidRPr="003D4B87">
        <w:rPr>
          <w:rFonts w:eastAsia="Times New Roman"/>
          <w:sz w:val="26"/>
          <w:szCs w:val="26"/>
        </w:rPr>
        <w:t> </w:t>
      </w:r>
      <w:r w:rsidR="007C5010" w:rsidRPr="003D4B87">
        <w:rPr>
          <w:rFonts w:eastAsia="Times New Roman"/>
          <w:sz w:val="26"/>
          <w:szCs w:val="26"/>
        </w:rPr>
        <w:t xml:space="preserve">punktā ir </w:t>
      </w:r>
      <w:r w:rsidR="00C22D2F" w:rsidRPr="003D4B87">
        <w:rPr>
          <w:rFonts w:eastAsia="Times New Roman"/>
          <w:sz w:val="26"/>
          <w:szCs w:val="26"/>
        </w:rPr>
        <w:t>paredzēts, ka m</w:t>
      </w:r>
      <w:r w:rsidR="00C22D2F" w:rsidRPr="003D4B87">
        <w:rPr>
          <w:sz w:val="26"/>
          <w:szCs w:val="26"/>
        </w:rPr>
        <w:t xml:space="preserve">inistrijām, kuras uzskatīs par lietderīgu turpināt attīstīt skaitļošanas infrastruktūras koplietošanas pakalpojumus, </w:t>
      </w:r>
      <w:r w:rsidR="007C5010" w:rsidRPr="003D4B87">
        <w:rPr>
          <w:rFonts w:eastAsia="Times New Roman"/>
          <w:sz w:val="26"/>
          <w:szCs w:val="26"/>
        </w:rPr>
        <w:t>jānodrošina, ka nozares skaitļošanas infrastruktūras pakalpojumu sniedzēja rīcībā ir nepieciešamās spējas (kvalificēts personāls) un resursi (datu centra infrastruktūra vismaz 750 nosacīto statņu augstuma vienību iekārtu apjomā, no tehnisko prasību viedokļa nodrošinot iespēju sniegt skaitļošanas infrastruktūras pakalpojumus atbilstoši TIER 2 līmeņa prasībām</w:t>
      </w:r>
      <w:r w:rsidR="00266824">
        <w:rPr>
          <w:rFonts w:eastAsia="Times New Roman"/>
          <w:sz w:val="26"/>
          <w:szCs w:val="26"/>
        </w:rPr>
        <w:t>)</w:t>
      </w:r>
      <w:r w:rsidR="00C22D2F" w:rsidRPr="003D4B87">
        <w:rPr>
          <w:rFonts w:eastAsia="Times New Roman"/>
          <w:sz w:val="26"/>
          <w:szCs w:val="26"/>
        </w:rPr>
        <w:t>.</w:t>
      </w:r>
      <w:r w:rsidR="007C5010" w:rsidRPr="003D4B87">
        <w:rPr>
          <w:rFonts w:eastAsia="Times New Roman"/>
          <w:sz w:val="26"/>
          <w:szCs w:val="26"/>
        </w:rPr>
        <w:t xml:space="preserve"> </w:t>
      </w:r>
      <w:r w:rsidR="00C22D2F" w:rsidRPr="003D4B87">
        <w:rPr>
          <w:rFonts w:eastAsia="Times New Roman"/>
          <w:sz w:val="26"/>
          <w:szCs w:val="26"/>
        </w:rPr>
        <w:t>Vēršam uzmanību, ka n</w:t>
      </w:r>
      <w:r w:rsidR="007C5010" w:rsidRPr="003D4B87">
        <w:rPr>
          <w:rFonts w:eastAsia="Times New Roman"/>
          <w:sz w:val="26"/>
          <w:szCs w:val="26"/>
        </w:rPr>
        <w:t xml:space="preserve">orādītie kritēriji (statņu augstums un TIER līmenis) nevar būt vienīgie kritēriji datu centru infrastruktūras novērtējumam. </w:t>
      </w:r>
      <w:r w:rsidR="00C22D2F" w:rsidRPr="003D4B87">
        <w:rPr>
          <w:rFonts w:eastAsia="Times New Roman"/>
          <w:sz w:val="26"/>
          <w:szCs w:val="26"/>
        </w:rPr>
        <w:t>Uzskatām, ka informatīvajā ziņojumā n</w:t>
      </w:r>
      <w:r w:rsidR="007C5010" w:rsidRPr="003D4B87">
        <w:rPr>
          <w:rFonts w:eastAsia="Times New Roman"/>
          <w:sz w:val="26"/>
          <w:szCs w:val="26"/>
        </w:rPr>
        <w:t xml:space="preserve">epieciešams norādīt ne tikai kvantitatīvus, bet arī kvalitatīvus kritērijus. </w:t>
      </w:r>
      <w:r w:rsidR="00C22D2F" w:rsidRPr="003D4B87">
        <w:rPr>
          <w:rFonts w:eastAsia="Times New Roman"/>
          <w:sz w:val="26"/>
          <w:szCs w:val="26"/>
        </w:rPr>
        <w:t>Ja tiek izvēlēti šādi nosacījumi, informatīvajā z</w:t>
      </w:r>
      <w:r w:rsidR="007C5010" w:rsidRPr="003D4B87">
        <w:rPr>
          <w:rFonts w:eastAsia="Times New Roman"/>
          <w:sz w:val="26"/>
          <w:szCs w:val="26"/>
        </w:rPr>
        <w:t>iņojumā būtu jānorāda pamatojums</w:t>
      </w:r>
      <w:r w:rsidR="00C22D2F" w:rsidRPr="003D4B87">
        <w:rPr>
          <w:rFonts w:eastAsia="Times New Roman"/>
          <w:sz w:val="26"/>
          <w:szCs w:val="26"/>
        </w:rPr>
        <w:t>,</w:t>
      </w:r>
      <w:r w:rsidR="007C5010" w:rsidRPr="003D4B87">
        <w:rPr>
          <w:rFonts w:eastAsia="Times New Roman"/>
          <w:sz w:val="26"/>
          <w:szCs w:val="26"/>
        </w:rPr>
        <w:t xml:space="preserve"> kāpēc 750, un nevis, piemēram, 330, ir pamatots kritērijs infrastruktūras novērtējumam. </w:t>
      </w:r>
      <w:r w:rsidR="00C22D2F" w:rsidRPr="003D4B87">
        <w:rPr>
          <w:rFonts w:eastAsia="Times New Roman"/>
          <w:sz w:val="26"/>
          <w:szCs w:val="26"/>
        </w:rPr>
        <w:t>Tāpat informatīvajā z</w:t>
      </w:r>
      <w:r w:rsidR="007C5010" w:rsidRPr="003D4B87">
        <w:rPr>
          <w:rFonts w:eastAsia="Times New Roman"/>
          <w:sz w:val="26"/>
          <w:szCs w:val="26"/>
        </w:rPr>
        <w:t>iņojumā jānorāda</w:t>
      </w:r>
      <w:r w:rsidR="00266824">
        <w:rPr>
          <w:rFonts w:eastAsia="Times New Roman"/>
          <w:sz w:val="26"/>
          <w:szCs w:val="26"/>
        </w:rPr>
        <w:t>,</w:t>
      </w:r>
      <w:r w:rsidR="007C5010" w:rsidRPr="003D4B87">
        <w:rPr>
          <w:rFonts w:eastAsia="Times New Roman"/>
          <w:sz w:val="26"/>
          <w:szCs w:val="26"/>
        </w:rPr>
        <w:t xml:space="preserve"> vai augstums attiecas uz vienu datu centra telpu vai telpu kopumu. </w:t>
      </w:r>
      <w:r w:rsidR="00C22D2F" w:rsidRPr="003D4B87">
        <w:rPr>
          <w:rFonts w:eastAsia="Times New Roman"/>
          <w:sz w:val="26"/>
          <w:szCs w:val="26"/>
        </w:rPr>
        <w:t>Vienlaikus informatīvajā z</w:t>
      </w:r>
      <w:r w:rsidR="007C5010" w:rsidRPr="003D4B87">
        <w:rPr>
          <w:rFonts w:eastAsia="Times New Roman"/>
          <w:sz w:val="26"/>
          <w:szCs w:val="26"/>
        </w:rPr>
        <w:t xml:space="preserve">iņojumā jānorāda, kuras TIER prasības tiek vērtētas un kādi ir </w:t>
      </w:r>
      <w:r w:rsidR="00C22D2F" w:rsidRPr="003D4B87">
        <w:rPr>
          <w:rFonts w:eastAsia="Times New Roman"/>
          <w:sz w:val="26"/>
          <w:szCs w:val="26"/>
        </w:rPr>
        <w:t xml:space="preserve">to </w:t>
      </w:r>
      <w:r w:rsidR="007C5010" w:rsidRPr="003D4B87">
        <w:rPr>
          <w:rFonts w:eastAsia="Times New Roman"/>
          <w:sz w:val="26"/>
          <w:szCs w:val="26"/>
        </w:rPr>
        <w:t xml:space="preserve">sasniedzamie kritēriji. </w:t>
      </w:r>
      <w:r w:rsidR="00C22D2F" w:rsidRPr="003D4B87">
        <w:rPr>
          <w:rFonts w:eastAsia="Times New Roman"/>
          <w:sz w:val="26"/>
          <w:szCs w:val="26"/>
        </w:rPr>
        <w:t>Vēršam uzmanību, ka š</w:t>
      </w:r>
      <w:r w:rsidR="007C5010" w:rsidRPr="003D4B87">
        <w:rPr>
          <w:rFonts w:eastAsia="Times New Roman"/>
          <w:sz w:val="26"/>
          <w:szCs w:val="26"/>
        </w:rPr>
        <w:t xml:space="preserve">īs prasības, kas noteiktas kā TIER 2, nav publiski pieejamas. </w:t>
      </w:r>
      <w:r w:rsidR="00C22D2F" w:rsidRPr="003D4B87">
        <w:rPr>
          <w:rFonts w:eastAsia="Times New Roman"/>
          <w:sz w:val="26"/>
          <w:szCs w:val="26"/>
        </w:rPr>
        <w:t xml:space="preserve">Tieslietu ministrijas </w:t>
      </w:r>
      <w:r w:rsidR="007C5010" w:rsidRPr="003D4B87">
        <w:rPr>
          <w:rFonts w:eastAsia="Times New Roman"/>
          <w:sz w:val="26"/>
          <w:szCs w:val="26"/>
        </w:rPr>
        <w:t>ieskatā</w:t>
      </w:r>
      <w:r w:rsidR="00266824">
        <w:rPr>
          <w:rFonts w:eastAsia="Times New Roman"/>
          <w:sz w:val="26"/>
          <w:szCs w:val="26"/>
        </w:rPr>
        <w:t>,</w:t>
      </w:r>
      <w:r w:rsidR="007C5010" w:rsidRPr="003D4B87">
        <w:rPr>
          <w:rFonts w:eastAsia="Times New Roman"/>
          <w:sz w:val="26"/>
          <w:szCs w:val="26"/>
        </w:rPr>
        <w:t xml:space="preserve"> valsts pārvaldē ir informācijas sistēmas, k</w:t>
      </w:r>
      <w:r w:rsidR="00C22D2F" w:rsidRPr="003D4B87">
        <w:rPr>
          <w:rFonts w:eastAsia="Times New Roman"/>
          <w:sz w:val="26"/>
          <w:szCs w:val="26"/>
        </w:rPr>
        <w:t>urā</w:t>
      </w:r>
      <w:r w:rsidR="007C5010" w:rsidRPr="003D4B87">
        <w:rPr>
          <w:rFonts w:eastAsia="Times New Roman"/>
          <w:sz w:val="26"/>
          <w:szCs w:val="26"/>
        </w:rPr>
        <w:t xml:space="preserve">m nepieciešams būtu augstāks līmenis nekā TIER2, kā arī ir sistēmas, kam pietiek arī ar TIER1 līmeni. </w:t>
      </w:r>
      <w:r w:rsidR="00C22D2F" w:rsidRPr="003D4B87">
        <w:rPr>
          <w:rFonts w:eastAsia="Times New Roman"/>
          <w:sz w:val="26"/>
          <w:szCs w:val="26"/>
        </w:rPr>
        <w:t>Tādējādi dažādām informācijas sistēmām l</w:t>
      </w:r>
      <w:r w:rsidR="007C5010" w:rsidRPr="003D4B87">
        <w:rPr>
          <w:rFonts w:eastAsia="Times New Roman"/>
          <w:sz w:val="26"/>
          <w:szCs w:val="26"/>
        </w:rPr>
        <w:t>ūdzam izmantot gradētu pieeju, zinot</w:t>
      </w:r>
      <w:r w:rsidR="00266824">
        <w:rPr>
          <w:rFonts w:eastAsia="Times New Roman"/>
          <w:sz w:val="26"/>
          <w:szCs w:val="26"/>
        </w:rPr>
        <w:t>,</w:t>
      </w:r>
      <w:r w:rsidR="007C5010" w:rsidRPr="003D4B87">
        <w:rPr>
          <w:rFonts w:eastAsia="Times New Roman"/>
          <w:sz w:val="26"/>
          <w:szCs w:val="26"/>
        </w:rPr>
        <w:t xml:space="preserve"> ka visām sistēmām nav </w:t>
      </w:r>
      <w:r w:rsidR="007C5010" w:rsidRPr="003D4B87">
        <w:rPr>
          <w:rFonts w:eastAsia="Times New Roman"/>
          <w:sz w:val="26"/>
          <w:szCs w:val="26"/>
        </w:rPr>
        <w:lastRenderedPageBreak/>
        <w:t xml:space="preserve">vienādas prasības attiecībā uz datu centru infrastruktūru. </w:t>
      </w:r>
      <w:r w:rsidR="003D4B87" w:rsidRPr="003D4B87">
        <w:rPr>
          <w:rFonts w:eastAsia="Times New Roman"/>
          <w:sz w:val="26"/>
          <w:szCs w:val="26"/>
        </w:rPr>
        <w:t>Vienlaikus l</w:t>
      </w:r>
      <w:r w:rsidR="007C5010" w:rsidRPr="003D4B87">
        <w:rPr>
          <w:rFonts w:eastAsia="Times New Roman"/>
          <w:sz w:val="26"/>
          <w:szCs w:val="26"/>
        </w:rPr>
        <w:t>ūdz</w:t>
      </w:r>
      <w:r w:rsidR="003D4B87" w:rsidRPr="003D4B87">
        <w:rPr>
          <w:rFonts w:eastAsia="Times New Roman"/>
          <w:sz w:val="26"/>
          <w:szCs w:val="26"/>
        </w:rPr>
        <w:t>am</w:t>
      </w:r>
      <w:r w:rsidR="007C5010" w:rsidRPr="003D4B87">
        <w:rPr>
          <w:rFonts w:eastAsia="Times New Roman"/>
          <w:sz w:val="26"/>
          <w:szCs w:val="26"/>
        </w:rPr>
        <w:t xml:space="preserve"> iekļaut </w:t>
      </w:r>
      <w:r w:rsidR="003D4B87" w:rsidRPr="003D4B87">
        <w:rPr>
          <w:rFonts w:eastAsia="Times New Roman"/>
          <w:sz w:val="26"/>
          <w:szCs w:val="26"/>
        </w:rPr>
        <w:t xml:space="preserve">informatīvajā ziņojumā </w:t>
      </w:r>
      <w:r w:rsidR="007C5010" w:rsidRPr="003D4B87">
        <w:rPr>
          <w:rFonts w:eastAsia="Times New Roman"/>
          <w:sz w:val="26"/>
          <w:szCs w:val="26"/>
        </w:rPr>
        <w:t>arī priekšnosacījumus,</w:t>
      </w:r>
      <w:r w:rsidR="007C5010" w:rsidRPr="007C5010">
        <w:rPr>
          <w:rFonts w:eastAsia="Times New Roman"/>
          <w:sz w:val="26"/>
          <w:szCs w:val="26"/>
        </w:rPr>
        <w:t xml:space="preserve"> kas attiecas ne tikai uz datu centru pieejamību, bet arī konfidencialitāti un integritāti. </w:t>
      </w:r>
    </w:p>
    <w:p w14:paraId="644E13D1" w14:textId="77777777" w:rsidR="002F5855" w:rsidRDefault="001C66F4" w:rsidP="00E55F9C">
      <w:pPr>
        <w:widowControl/>
        <w:ind w:firstLine="720"/>
        <w:rPr>
          <w:rFonts w:eastAsia="Times New Roman"/>
          <w:sz w:val="26"/>
          <w:szCs w:val="26"/>
        </w:rPr>
      </w:pPr>
      <w:r>
        <w:rPr>
          <w:rFonts w:eastAsia="Times New Roman"/>
          <w:sz w:val="26"/>
          <w:szCs w:val="26"/>
        </w:rPr>
        <w:t xml:space="preserve">2. </w:t>
      </w:r>
      <w:r w:rsidR="003D4B87" w:rsidRPr="003D4B87">
        <w:rPr>
          <w:rFonts w:eastAsia="Times New Roman"/>
          <w:sz w:val="26"/>
          <w:szCs w:val="26"/>
        </w:rPr>
        <w:t>Informatīvā ziņojuma 5. </w:t>
      </w:r>
      <w:r w:rsidR="003D4B87">
        <w:rPr>
          <w:rFonts w:eastAsia="Times New Roman"/>
          <w:sz w:val="26"/>
          <w:szCs w:val="26"/>
        </w:rPr>
        <w:t>nodaļā</w:t>
      </w:r>
      <w:r w:rsidR="003D4B87" w:rsidRPr="003D4B87">
        <w:rPr>
          <w:rFonts w:eastAsia="Times New Roman"/>
          <w:sz w:val="26"/>
          <w:szCs w:val="26"/>
        </w:rPr>
        <w:t xml:space="preserve"> paredzēt</w:t>
      </w:r>
      <w:r w:rsidR="003D4B87">
        <w:rPr>
          <w:rFonts w:eastAsia="Times New Roman"/>
          <w:sz w:val="26"/>
          <w:szCs w:val="26"/>
        </w:rPr>
        <w:t xml:space="preserve">ajās prasībās </w:t>
      </w:r>
      <w:r w:rsidR="003D4B87" w:rsidRPr="003D4B87">
        <w:rPr>
          <w:rFonts w:eastAsia="Times New Roman"/>
          <w:sz w:val="26"/>
          <w:szCs w:val="26"/>
        </w:rPr>
        <w:t>m</w:t>
      </w:r>
      <w:r w:rsidR="003D4B87" w:rsidRPr="003D4B87">
        <w:rPr>
          <w:sz w:val="26"/>
          <w:szCs w:val="26"/>
        </w:rPr>
        <w:t>inistrijām</w:t>
      </w:r>
      <w:r w:rsidR="003D4B87">
        <w:rPr>
          <w:sz w:val="26"/>
          <w:szCs w:val="26"/>
        </w:rPr>
        <w:t xml:space="preserve"> 3.punktā</w:t>
      </w:r>
      <w:r w:rsidR="003D4B87" w:rsidRPr="003D4B87">
        <w:rPr>
          <w:sz w:val="26"/>
          <w:szCs w:val="26"/>
        </w:rPr>
        <w:t xml:space="preserve"> </w:t>
      </w:r>
      <w:r w:rsidR="003D4B87">
        <w:rPr>
          <w:sz w:val="26"/>
          <w:szCs w:val="26"/>
        </w:rPr>
        <w:t xml:space="preserve">tiek plānots, ka ministrijas, </w:t>
      </w:r>
      <w:r w:rsidR="003D4B87" w:rsidRPr="003D4B87">
        <w:rPr>
          <w:sz w:val="26"/>
          <w:szCs w:val="26"/>
        </w:rPr>
        <w:t xml:space="preserve">kuras uzskatīs par lietderīgu turpināt attīstīt skaitļošanas infrastruktūras koplietošanas pakalpojumus, </w:t>
      </w:r>
      <w:r w:rsidR="007C5010" w:rsidRPr="007C5010">
        <w:rPr>
          <w:rFonts w:eastAsia="Times New Roman"/>
          <w:sz w:val="26"/>
          <w:szCs w:val="26"/>
        </w:rPr>
        <w:t>koplietošanas pakalpojumu sniedzēja infrastruktūrā konteineru pārvaldības līmenī sadarbspējīgai mākoņdatošanas infrastruktūrai veidos vismaz 30% no kopējā skaitļošanas infrastruktūras apjoma, turpmākās attīstības plānā līdz 2024.</w:t>
      </w:r>
      <w:r w:rsidR="003D4B87">
        <w:rPr>
          <w:rFonts w:eastAsia="Times New Roman"/>
          <w:sz w:val="26"/>
          <w:szCs w:val="26"/>
        </w:rPr>
        <w:t> </w:t>
      </w:r>
      <w:r w:rsidR="007C5010" w:rsidRPr="007C5010">
        <w:rPr>
          <w:rFonts w:eastAsia="Times New Roman"/>
          <w:sz w:val="26"/>
          <w:szCs w:val="26"/>
        </w:rPr>
        <w:t>gada 30.</w:t>
      </w:r>
      <w:r w:rsidR="003D4B87">
        <w:rPr>
          <w:rFonts w:eastAsia="Times New Roman"/>
          <w:sz w:val="26"/>
          <w:szCs w:val="26"/>
        </w:rPr>
        <w:t> </w:t>
      </w:r>
      <w:r w:rsidR="007C5010" w:rsidRPr="007C5010">
        <w:rPr>
          <w:rFonts w:eastAsia="Times New Roman"/>
          <w:sz w:val="26"/>
          <w:szCs w:val="26"/>
        </w:rPr>
        <w:t xml:space="preserve">novembrim </w:t>
      </w:r>
      <w:r w:rsidR="003D4B87" w:rsidRPr="007C5010">
        <w:rPr>
          <w:rFonts w:eastAsia="Times New Roman"/>
          <w:sz w:val="26"/>
          <w:szCs w:val="26"/>
        </w:rPr>
        <w:t xml:space="preserve">paredzot </w:t>
      </w:r>
      <w:r w:rsidR="007C5010" w:rsidRPr="007C5010">
        <w:rPr>
          <w:rFonts w:eastAsia="Times New Roman"/>
          <w:sz w:val="26"/>
          <w:szCs w:val="26"/>
        </w:rPr>
        <w:t>šīs daļas palielināšanu līdz vismaz 50%</w:t>
      </w:r>
      <w:r w:rsidR="003D4B87">
        <w:rPr>
          <w:rFonts w:eastAsia="Times New Roman"/>
          <w:sz w:val="26"/>
          <w:szCs w:val="26"/>
        </w:rPr>
        <w:t>. Vēršam uzmanību, ka n</w:t>
      </w:r>
      <w:r w:rsidR="007C5010" w:rsidRPr="007C5010">
        <w:rPr>
          <w:rFonts w:eastAsia="Times New Roman"/>
          <w:sz w:val="26"/>
          <w:szCs w:val="26"/>
        </w:rPr>
        <w:t xml:space="preserve">orādītie kritēriji nebūtu attiecināmi uz datu centru priekšnosacījumiem, un pāreja uz konteinerpārvaldības arhitektūras modeli nav tieši saistāma ar datu centru infrastruktūras attīstību. </w:t>
      </w:r>
      <w:r w:rsidR="003D4B87">
        <w:rPr>
          <w:rFonts w:eastAsia="Times New Roman"/>
          <w:sz w:val="26"/>
          <w:szCs w:val="26"/>
        </w:rPr>
        <w:t>Tāpat informatīvajā z</w:t>
      </w:r>
      <w:r w:rsidR="007C5010" w:rsidRPr="007C5010">
        <w:rPr>
          <w:rFonts w:eastAsia="Times New Roman"/>
          <w:sz w:val="26"/>
          <w:szCs w:val="26"/>
        </w:rPr>
        <w:t xml:space="preserve">iņojumā būtu jānorāda provizoriskais aprēķins infrastruktūras pārnešanai un uzturēšanai uz konteinerpārvaldības arhitektūras modeli. </w:t>
      </w:r>
    </w:p>
    <w:p w14:paraId="644E13D2" w14:textId="77777777" w:rsidR="00271C6C" w:rsidRDefault="001C66F4" w:rsidP="00E55F9C">
      <w:pPr>
        <w:widowControl/>
        <w:ind w:firstLine="720"/>
        <w:rPr>
          <w:rFonts w:eastAsia="Times New Roman"/>
          <w:sz w:val="26"/>
          <w:szCs w:val="26"/>
        </w:rPr>
      </w:pPr>
      <w:r>
        <w:rPr>
          <w:rFonts w:eastAsia="Times New Roman"/>
          <w:sz w:val="26"/>
          <w:szCs w:val="26"/>
        </w:rPr>
        <w:t xml:space="preserve">3. </w:t>
      </w:r>
      <w:r w:rsidR="00271C6C" w:rsidRPr="003D4B87">
        <w:rPr>
          <w:rFonts w:eastAsia="Times New Roman"/>
          <w:sz w:val="26"/>
          <w:szCs w:val="26"/>
        </w:rPr>
        <w:t>Informatīvā ziņojuma 5. </w:t>
      </w:r>
      <w:r w:rsidR="00271C6C">
        <w:rPr>
          <w:rFonts w:eastAsia="Times New Roman"/>
          <w:sz w:val="26"/>
          <w:szCs w:val="26"/>
        </w:rPr>
        <w:t>nodaļā</w:t>
      </w:r>
      <w:r w:rsidR="00271C6C" w:rsidRPr="003D4B87">
        <w:rPr>
          <w:rFonts w:eastAsia="Times New Roman"/>
          <w:sz w:val="26"/>
          <w:szCs w:val="26"/>
        </w:rPr>
        <w:t xml:space="preserve"> paredzēt</w:t>
      </w:r>
      <w:r w:rsidR="00271C6C">
        <w:rPr>
          <w:rFonts w:eastAsia="Times New Roman"/>
          <w:sz w:val="26"/>
          <w:szCs w:val="26"/>
        </w:rPr>
        <w:t xml:space="preserve">ajās prasībās </w:t>
      </w:r>
      <w:r w:rsidR="00271C6C" w:rsidRPr="003D4B87">
        <w:rPr>
          <w:rFonts w:eastAsia="Times New Roman"/>
          <w:sz w:val="26"/>
          <w:szCs w:val="26"/>
        </w:rPr>
        <w:t>m</w:t>
      </w:r>
      <w:r w:rsidR="00271C6C" w:rsidRPr="003D4B87">
        <w:rPr>
          <w:sz w:val="26"/>
          <w:szCs w:val="26"/>
        </w:rPr>
        <w:t>inistrijām</w:t>
      </w:r>
      <w:r w:rsidR="00271C6C">
        <w:rPr>
          <w:sz w:val="26"/>
          <w:szCs w:val="26"/>
        </w:rPr>
        <w:t xml:space="preserve"> 3.</w:t>
      </w:r>
      <w:r>
        <w:rPr>
          <w:sz w:val="26"/>
          <w:szCs w:val="26"/>
        </w:rPr>
        <w:t> </w:t>
      </w:r>
      <w:r w:rsidR="00271C6C">
        <w:rPr>
          <w:sz w:val="26"/>
          <w:szCs w:val="26"/>
        </w:rPr>
        <w:t>punkta c)</w:t>
      </w:r>
      <w:r w:rsidR="008061A8">
        <w:rPr>
          <w:sz w:val="26"/>
          <w:szCs w:val="26"/>
        </w:rPr>
        <w:t> </w:t>
      </w:r>
      <w:r w:rsidR="00271C6C">
        <w:rPr>
          <w:sz w:val="26"/>
          <w:szCs w:val="26"/>
        </w:rPr>
        <w:t xml:space="preserve">apakšpunktā </w:t>
      </w:r>
      <w:r w:rsidR="00271C6C">
        <w:rPr>
          <w:rFonts w:eastAsia="Times New Roman"/>
          <w:sz w:val="26"/>
          <w:szCs w:val="26"/>
        </w:rPr>
        <w:t>tiek paredzēts, ka “</w:t>
      </w:r>
      <w:r w:rsidR="007C5010" w:rsidRPr="007C5010">
        <w:rPr>
          <w:rFonts w:eastAsia="Times New Roman"/>
          <w:sz w:val="26"/>
          <w:szCs w:val="26"/>
        </w:rPr>
        <w:t>datu apstrādes pakalpojumu pārvaldībai tiek izmantota pakalpojumu pārvaldības un lietotāju atbalsta sistēmu (angl. service desk), kas, savukārt, ir integrēta ar valsts līmeņa IKT pakalpojumu un resursu pārvaldības sistēmu VIRSIS</w:t>
      </w:r>
      <w:r w:rsidR="00271C6C">
        <w:rPr>
          <w:rFonts w:eastAsia="Times New Roman"/>
          <w:sz w:val="26"/>
          <w:szCs w:val="26"/>
        </w:rPr>
        <w:t>”.</w:t>
      </w:r>
      <w:r w:rsidR="007C5010" w:rsidRPr="007C5010">
        <w:rPr>
          <w:rFonts w:eastAsia="Times New Roman"/>
          <w:sz w:val="26"/>
          <w:szCs w:val="26"/>
        </w:rPr>
        <w:t xml:space="preserve"> </w:t>
      </w:r>
      <w:r w:rsidR="00271C6C">
        <w:rPr>
          <w:rFonts w:eastAsia="Times New Roman"/>
          <w:sz w:val="26"/>
          <w:szCs w:val="26"/>
        </w:rPr>
        <w:t>Savukārt i</w:t>
      </w:r>
      <w:r w:rsidR="00271C6C" w:rsidRPr="003D4B87">
        <w:rPr>
          <w:rFonts w:eastAsia="Times New Roman"/>
          <w:sz w:val="26"/>
          <w:szCs w:val="26"/>
        </w:rPr>
        <w:t xml:space="preserve">nformatīvā ziņojuma </w:t>
      </w:r>
      <w:r w:rsidR="00271C6C">
        <w:rPr>
          <w:rFonts w:eastAsia="Times New Roman"/>
          <w:sz w:val="26"/>
          <w:szCs w:val="26"/>
        </w:rPr>
        <w:t>6</w:t>
      </w:r>
      <w:r w:rsidR="00271C6C" w:rsidRPr="003D4B87">
        <w:rPr>
          <w:rFonts w:eastAsia="Times New Roman"/>
          <w:sz w:val="26"/>
          <w:szCs w:val="26"/>
        </w:rPr>
        <w:t>. </w:t>
      </w:r>
      <w:r w:rsidR="00271C6C">
        <w:rPr>
          <w:rFonts w:eastAsia="Times New Roman"/>
          <w:sz w:val="26"/>
          <w:szCs w:val="26"/>
        </w:rPr>
        <w:t>nodaļā</w:t>
      </w:r>
      <w:r w:rsidR="00271C6C" w:rsidRPr="003D4B87">
        <w:rPr>
          <w:rFonts w:eastAsia="Times New Roman"/>
          <w:sz w:val="26"/>
          <w:szCs w:val="26"/>
        </w:rPr>
        <w:t xml:space="preserve"> paredzēt</w:t>
      </w:r>
      <w:r w:rsidR="00271C6C">
        <w:rPr>
          <w:rFonts w:eastAsia="Times New Roman"/>
          <w:sz w:val="26"/>
          <w:szCs w:val="26"/>
        </w:rPr>
        <w:t xml:space="preserve">ajās prasībās </w:t>
      </w:r>
      <w:r w:rsidR="00271C6C" w:rsidRPr="003D4B87">
        <w:rPr>
          <w:rFonts w:eastAsia="Times New Roman"/>
          <w:sz w:val="26"/>
          <w:szCs w:val="26"/>
        </w:rPr>
        <w:t>m</w:t>
      </w:r>
      <w:r w:rsidR="00271C6C" w:rsidRPr="003D4B87">
        <w:rPr>
          <w:sz w:val="26"/>
          <w:szCs w:val="26"/>
        </w:rPr>
        <w:t>inistrijām</w:t>
      </w:r>
      <w:r w:rsidR="00271C6C">
        <w:rPr>
          <w:sz w:val="26"/>
          <w:szCs w:val="26"/>
        </w:rPr>
        <w:t xml:space="preserve"> 4. punktā </w:t>
      </w:r>
      <w:r w:rsidR="00271C6C">
        <w:rPr>
          <w:rFonts w:eastAsia="Times New Roman"/>
          <w:sz w:val="26"/>
          <w:szCs w:val="26"/>
        </w:rPr>
        <w:t>tiek paredzēts, ka</w:t>
      </w:r>
      <w:r w:rsidR="007C5010" w:rsidRPr="007C5010">
        <w:rPr>
          <w:rFonts w:eastAsia="Times New Roman"/>
          <w:sz w:val="26"/>
          <w:szCs w:val="26"/>
        </w:rPr>
        <w:t xml:space="preserve"> </w:t>
      </w:r>
      <w:r w:rsidR="00271C6C">
        <w:rPr>
          <w:rFonts w:eastAsia="Times New Roman"/>
          <w:sz w:val="26"/>
          <w:szCs w:val="26"/>
        </w:rPr>
        <w:t>“</w:t>
      </w:r>
      <w:r w:rsidR="007C5010" w:rsidRPr="007C5010">
        <w:rPr>
          <w:rFonts w:eastAsia="Times New Roman"/>
          <w:sz w:val="26"/>
          <w:szCs w:val="26"/>
        </w:rPr>
        <w:t>datorizēto darba vietu pārvaldības un lietotāju atbalsta risinājums izmanto centralizētu pakalpojumu pārvaldības un lietotāju atbalsta sistēmu (service desk), kas, savukārt, ir integrēta ar valsts līmeņa IKT pakalpojumu un resursu pārvaldības sistēmu VIRSIS</w:t>
      </w:r>
      <w:r w:rsidR="00271C6C">
        <w:rPr>
          <w:rFonts w:eastAsia="Times New Roman"/>
          <w:sz w:val="26"/>
          <w:szCs w:val="26"/>
        </w:rPr>
        <w:t>”.</w:t>
      </w:r>
      <w:r w:rsidR="007C5010" w:rsidRPr="007C5010">
        <w:rPr>
          <w:rFonts w:eastAsia="Times New Roman"/>
          <w:sz w:val="26"/>
          <w:szCs w:val="26"/>
        </w:rPr>
        <w:t xml:space="preserve"> </w:t>
      </w:r>
      <w:r w:rsidR="00271C6C">
        <w:rPr>
          <w:rFonts w:eastAsia="Times New Roman"/>
          <w:sz w:val="26"/>
          <w:szCs w:val="26"/>
        </w:rPr>
        <w:t xml:space="preserve">Tieslietu ministrijas ieskatā, informatīvajā ziņojumā nepieciešams </w:t>
      </w:r>
      <w:r w:rsidR="007C5010" w:rsidRPr="007C5010">
        <w:rPr>
          <w:rFonts w:eastAsia="Times New Roman"/>
          <w:sz w:val="26"/>
          <w:szCs w:val="26"/>
        </w:rPr>
        <w:t>norād</w:t>
      </w:r>
      <w:r w:rsidR="00271C6C">
        <w:rPr>
          <w:rFonts w:eastAsia="Times New Roman"/>
          <w:sz w:val="26"/>
          <w:szCs w:val="26"/>
        </w:rPr>
        <w:t>īt</w:t>
      </w:r>
      <w:r w:rsidR="007C5010" w:rsidRPr="007C5010">
        <w:rPr>
          <w:rFonts w:eastAsia="Times New Roman"/>
          <w:sz w:val="26"/>
          <w:szCs w:val="26"/>
        </w:rPr>
        <w:t xml:space="preserve"> mērķi integrācijas izveidei, kā arī integrācijas apjom</w:t>
      </w:r>
      <w:r w:rsidR="00271C6C">
        <w:rPr>
          <w:rFonts w:eastAsia="Times New Roman"/>
          <w:sz w:val="26"/>
          <w:szCs w:val="26"/>
        </w:rPr>
        <w:t>u</w:t>
      </w:r>
      <w:r w:rsidR="007C5010" w:rsidRPr="007C5010">
        <w:rPr>
          <w:rFonts w:eastAsia="Times New Roman"/>
          <w:sz w:val="26"/>
          <w:szCs w:val="26"/>
        </w:rPr>
        <w:t xml:space="preserve"> (datu veidi, funkcionalitāte). </w:t>
      </w:r>
    </w:p>
    <w:p w14:paraId="644E13D3" w14:textId="77777777" w:rsidR="008061A8" w:rsidRDefault="001C66F4" w:rsidP="00E55F9C">
      <w:pPr>
        <w:widowControl/>
        <w:ind w:firstLine="720"/>
        <w:rPr>
          <w:rFonts w:eastAsia="Times New Roman"/>
          <w:sz w:val="26"/>
          <w:szCs w:val="26"/>
        </w:rPr>
      </w:pPr>
      <w:r>
        <w:rPr>
          <w:rFonts w:eastAsia="Times New Roman"/>
          <w:sz w:val="26"/>
          <w:szCs w:val="26"/>
        </w:rPr>
        <w:t xml:space="preserve">4. </w:t>
      </w:r>
      <w:r w:rsidR="008061A8">
        <w:rPr>
          <w:rFonts w:eastAsia="Times New Roman"/>
          <w:sz w:val="26"/>
          <w:szCs w:val="26"/>
        </w:rPr>
        <w:t xml:space="preserve">Projekta 4. punktā paredzētos uzdevumus ministrijām nepieciešams precizēt un savstarpēji saskaņot. </w:t>
      </w:r>
      <w:bookmarkStart w:id="0" w:name="_Hlk40684708"/>
      <w:r w:rsidR="002153A2">
        <w:rPr>
          <w:rFonts w:eastAsia="Times New Roman"/>
          <w:sz w:val="26"/>
          <w:szCs w:val="26"/>
        </w:rPr>
        <w:t xml:space="preserve">Projekta 4.1. apakšpunkts paredz </w:t>
      </w:r>
      <w:bookmarkEnd w:id="0"/>
      <w:r w:rsidR="002153A2">
        <w:rPr>
          <w:rFonts w:eastAsia="Times New Roman"/>
          <w:sz w:val="26"/>
          <w:szCs w:val="26"/>
        </w:rPr>
        <w:t xml:space="preserve">uzdevumu gan “informēt”, gan arī “saskaņot”. Vēršam uzmanību, ka tie ir divi dažādi rīcības modeļi gan visām ministrijām, gan arī </w:t>
      </w:r>
      <w:r w:rsidR="002153A2" w:rsidRPr="003D4B87">
        <w:rPr>
          <w:rFonts w:eastAsia="Times New Roman"/>
          <w:sz w:val="26"/>
          <w:szCs w:val="26"/>
        </w:rPr>
        <w:t>Vides aizsardzības un reģionālās attīstības ministrija</w:t>
      </w:r>
      <w:r w:rsidR="002153A2">
        <w:rPr>
          <w:rFonts w:eastAsia="Times New Roman"/>
          <w:sz w:val="26"/>
          <w:szCs w:val="26"/>
        </w:rPr>
        <w:t xml:space="preserve">i. </w:t>
      </w:r>
      <w:r w:rsidR="00F82D56">
        <w:rPr>
          <w:rFonts w:eastAsia="Times New Roman"/>
          <w:sz w:val="26"/>
          <w:szCs w:val="26"/>
        </w:rPr>
        <w:t>Tādējādi uzdevums un iesniedzamais dokuments nav konkretizēt</w:t>
      </w:r>
      <w:r>
        <w:rPr>
          <w:rFonts w:eastAsia="Times New Roman"/>
          <w:sz w:val="26"/>
          <w:szCs w:val="26"/>
        </w:rPr>
        <w:t>i</w:t>
      </w:r>
      <w:r w:rsidR="00F82D56">
        <w:rPr>
          <w:rFonts w:eastAsia="Times New Roman"/>
          <w:sz w:val="26"/>
          <w:szCs w:val="26"/>
        </w:rPr>
        <w:t xml:space="preserve">. </w:t>
      </w:r>
      <w:r w:rsidR="002153A2">
        <w:rPr>
          <w:rFonts w:eastAsia="Times New Roman"/>
          <w:sz w:val="26"/>
          <w:szCs w:val="26"/>
        </w:rPr>
        <w:t xml:space="preserve">Savukārt projekta 4.2. apakšpunkts paredz </w:t>
      </w:r>
      <w:r w:rsidR="00F82D56">
        <w:rPr>
          <w:rFonts w:eastAsia="Times New Roman"/>
          <w:sz w:val="26"/>
          <w:szCs w:val="26"/>
        </w:rPr>
        <w:t>tikai saskaņotu “</w:t>
      </w:r>
      <w:r w:rsidR="00F82D56" w:rsidRPr="00F82D56">
        <w:rPr>
          <w:rFonts w:eastAsia="Times New Roman"/>
          <w:sz w:val="26"/>
          <w:szCs w:val="26"/>
        </w:rPr>
        <w:t>infrastruktūras koplietošanas pakalpojumu attīstības plānu</w:t>
      </w:r>
      <w:r w:rsidR="00F82D56">
        <w:rPr>
          <w:rFonts w:eastAsia="Times New Roman"/>
          <w:sz w:val="26"/>
          <w:szCs w:val="26"/>
        </w:rPr>
        <w:t xml:space="preserve">” turpmāku finansēšanu. Ņemot vērā šo punktu secību un izpildes hronoloģiju, var pieļaut, ka tie ir saistīti uzdevumi, bet vienlaikus var interpretēt kā nesaistītus uzdevumus, jo projekta 4.1. apakšpunkts neparedz </w:t>
      </w:r>
      <w:r>
        <w:rPr>
          <w:rFonts w:eastAsia="Times New Roman"/>
          <w:sz w:val="26"/>
          <w:szCs w:val="26"/>
        </w:rPr>
        <w:t xml:space="preserve">jebkādu </w:t>
      </w:r>
      <w:r w:rsidR="00F82D56">
        <w:rPr>
          <w:rFonts w:eastAsia="Times New Roman"/>
          <w:sz w:val="26"/>
          <w:szCs w:val="26"/>
        </w:rPr>
        <w:t xml:space="preserve">plānu iesniegšanu. </w:t>
      </w:r>
    </w:p>
    <w:p w14:paraId="644E13D4" w14:textId="77777777" w:rsidR="007C5010" w:rsidRDefault="007C5010" w:rsidP="00E55F9C">
      <w:pPr>
        <w:widowControl/>
        <w:ind w:firstLine="720"/>
        <w:rPr>
          <w:rFonts w:eastAsia="Times New Roman"/>
          <w:sz w:val="26"/>
          <w:szCs w:val="26"/>
        </w:rPr>
      </w:pPr>
    </w:p>
    <w:p w14:paraId="644E13D5" w14:textId="77777777" w:rsidR="00E55F9C" w:rsidRPr="00284044" w:rsidRDefault="00E55F9C" w:rsidP="00E55F9C">
      <w:pPr>
        <w:widowControl/>
        <w:ind w:firstLine="720"/>
        <w:rPr>
          <w:rFonts w:eastAsia="Times New Roman"/>
          <w:sz w:val="26"/>
          <w:szCs w:val="26"/>
        </w:rPr>
      </w:pPr>
    </w:p>
    <w:p w14:paraId="644E13D6" w14:textId="77777777" w:rsidR="00E55F9C" w:rsidRPr="00284044" w:rsidRDefault="00E55F9C" w:rsidP="00E55F9C">
      <w:pPr>
        <w:widowControl/>
        <w:ind w:firstLine="720"/>
        <w:rPr>
          <w:rFonts w:eastAsia="Times New Roman"/>
          <w:sz w:val="26"/>
          <w:szCs w:val="26"/>
        </w:rPr>
      </w:pPr>
    </w:p>
    <w:p w14:paraId="644E13D7" w14:textId="77777777" w:rsidR="00E55F9C" w:rsidRPr="00284044" w:rsidRDefault="00E55F9C" w:rsidP="00E55F9C">
      <w:pPr>
        <w:widowControl/>
        <w:rPr>
          <w:rFonts w:eastAsia="Times New Roman"/>
          <w:sz w:val="26"/>
          <w:szCs w:val="26"/>
        </w:rPr>
      </w:pPr>
      <w:r w:rsidRPr="00284044">
        <w:rPr>
          <w:rFonts w:eastAsia="Times New Roman"/>
          <w:sz w:val="26"/>
          <w:szCs w:val="26"/>
        </w:rPr>
        <w:t>Valsts sekretāra vietniece</w:t>
      </w:r>
    </w:p>
    <w:p w14:paraId="644E13D8" w14:textId="77777777" w:rsidR="00E55F9C" w:rsidRPr="00284044" w:rsidRDefault="00E55F9C" w:rsidP="00E55F9C">
      <w:pPr>
        <w:widowControl/>
        <w:rPr>
          <w:rFonts w:eastAsia="Times New Roman"/>
          <w:sz w:val="26"/>
          <w:szCs w:val="26"/>
        </w:rPr>
      </w:pPr>
      <w:r w:rsidRPr="00284044">
        <w:rPr>
          <w:rFonts w:eastAsia="Times New Roman"/>
          <w:sz w:val="26"/>
          <w:szCs w:val="26"/>
        </w:rPr>
        <w:t>tiesību politikas jautājumos</w:t>
      </w:r>
      <w:r w:rsidRPr="00284044">
        <w:rPr>
          <w:rFonts w:eastAsia="Times New Roman"/>
          <w:sz w:val="26"/>
          <w:szCs w:val="26"/>
        </w:rPr>
        <w:tab/>
      </w:r>
      <w:r w:rsidRPr="00284044">
        <w:rPr>
          <w:rFonts w:eastAsia="Times New Roman"/>
          <w:sz w:val="26"/>
          <w:szCs w:val="26"/>
        </w:rPr>
        <w:tab/>
      </w:r>
      <w:r w:rsidRPr="00284044">
        <w:rPr>
          <w:rFonts w:eastAsia="Times New Roman"/>
          <w:sz w:val="26"/>
          <w:szCs w:val="26"/>
        </w:rPr>
        <w:tab/>
      </w:r>
      <w:r w:rsidRPr="00284044">
        <w:rPr>
          <w:rFonts w:eastAsia="Times New Roman"/>
          <w:sz w:val="26"/>
          <w:szCs w:val="26"/>
        </w:rPr>
        <w:tab/>
      </w:r>
      <w:r w:rsidRPr="00284044">
        <w:rPr>
          <w:rFonts w:eastAsia="Times New Roman"/>
          <w:sz w:val="26"/>
          <w:szCs w:val="26"/>
        </w:rPr>
        <w:tab/>
      </w:r>
      <w:r w:rsidRPr="00284044">
        <w:rPr>
          <w:rFonts w:eastAsia="Times New Roman"/>
          <w:sz w:val="26"/>
          <w:szCs w:val="26"/>
        </w:rPr>
        <w:tab/>
      </w:r>
      <w:r w:rsidRPr="00284044">
        <w:rPr>
          <w:rFonts w:eastAsia="Times New Roman"/>
          <w:sz w:val="26"/>
          <w:szCs w:val="26"/>
        </w:rPr>
        <w:tab/>
        <w:t xml:space="preserve">      Laila Medina</w:t>
      </w:r>
    </w:p>
    <w:p w14:paraId="644E13D9" w14:textId="77777777" w:rsidR="00E55F9C" w:rsidRPr="00284044" w:rsidRDefault="00E55F9C" w:rsidP="00E55F9C">
      <w:pPr>
        <w:widowControl/>
        <w:rPr>
          <w:rFonts w:eastAsia="Times New Roman"/>
          <w:sz w:val="20"/>
          <w:szCs w:val="20"/>
        </w:rPr>
      </w:pPr>
    </w:p>
    <w:p w14:paraId="644E13DA" w14:textId="77777777" w:rsidR="00E55F9C" w:rsidRPr="00284044" w:rsidRDefault="00E55F9C" w:rsidP="00E55F9C">
      <w:pPr>
        <w:widowControl/>
        <w:rPr>
          <w:rFonts w:eastAsia="Times New Roman"/>
          <w:sz w:val="20"/>
          <w:szCs w:val="20"/>
        </w:rPr>
      </w:pPr>
    </w:p>
    <w:p w14:paraId="644E13DB" w14:textId="77777777" w:rsidR="00E55F9C" w:rsidRPr="00284044" w:rsidRDefault="00E55F9C" w:rsidP="00E55F9C">
      <w:pPr>
        <w:widowControl/>
        <w:jc w:val="left"/>
        <w:rPr>
          <w:rFonts w:eastAsia="Times New Roman"/>
          <w:sz w:val="20"/>
          <w:szCs w:val="24"/>
        </w:rPr>
      </w:pPr>
      <w:r w:rsidRPr="00284044">
        <w:rPr>
          <w:rFonts w:eastAsia="Times New Roman"/>
          <w:sz w:val="20"/>
          <w:szCs w:val="24"/>
        </w:rPr>
        <w:t>U.Rudziks</w:t>
      </w:r>
    </w:p>
    <w:p w14:paraId="644E13DC" w14:textId="77777777" w:rsidR="00E55F9C" w:rsidRPr="00284044" w:rsidRDefault="00E55F9C" w:rsidP="00E55F9C">
      <w:pPr>
        <w:widowControl/>
        <w:jc w:val="left"/>
        <w:rPr>
          <w:rFonts w:eastAsia="Times New Roman"/>
          <w:sz w:val="20"/>
          <w:szCs w:val="24"/>
        </w:rPr>
      </w:pPr>
      <w:r w:rsidRPr="00284044">
        <w:rPr>
          <w:rFonts w:eastAsia="Times New Roman"/>
          <w:sz w:val="20"/>
          <w:szCs w:val="24"/>
        </w:rPr>
        <w:t>Valststiesību departamenta</w:t>
      </w:r>
    </w:p>
    <w:p w14:paraId="644E13DD" w14:textId="77777777" w:rsidR="00E55F9C" w:rsidRPr="00284044" w:rsidRDefault="00E55F9C" w:rsidP="00E55F9C">
      <w:pPr>
        <w:widowControl/>
        <w:jc w:val="left"/>
        <w:rPr>
          <w:rFonts w:eastAsia="Times New Roman"/>
          <w:sz w:val="20"/>
          <w:szCs w:val="24"/>
        </w:rPr>
      </w:pPr>
      <w:r w:rsidRPr="00284044">
        <w:rPr>
          <w:rFonts w:eastAsia="Times New Roman"/>
          <w:sz w:val="20"/>
          <w:szCs w:val="24"/>
        </w:rPr>
        <w:t>Administratīvo tiesību nodaļas jurists</w:t>
      </w:r>
    </w:p>
    <w:p w14:paraId="644E13DE" w14:textId="77777777" w:rsidR="00E55F9C" w:rsidRPr="00284044" w:rsidRDefault="00E55F9C" w:rsidP="00E55F9C">
      <w:pPr>
        <w:widowControl/>
        <w:jc w:val="left"/>
      </w:pPr>
      <w:r w:rsidRPr="00284044">
        <w:rPr>
          <w:rFonts w:eastAsia="Times New Roman"/>
          <w:sz w:val="20"/>
          <w:szCs w:val="24"/>
        </w:rPr>
        <w:t xml:space="preserve">7036902, </w:t>
      </w:r>
      <w:hyperlink r:id="rId6" w:history="1">
        <w:r w:rsidRPr="00284044">
          <w:rPr>
            <w:rFonts w:eastAsia="Times New Roman"/>
            <w:color w:val="0000FF"/>
            <w:sz w:val="20"/>
            <w:szCs w:val="24"/>
            <w:u w:val="single"/>
          </w:rPr>
          <w:t>Uldis.R</w:t>
        </w:r>
        <w:bookmarkStart w:id="1" w:name="_Hlt95904132"/>
        <w:r w:rsidRPr="00284044">
          <w:rPr>
            <w:rFonts w:eastAsia="Times New Roman"/>
            <w:color w:val="0000FF"/>
            <w:sz w:val="20"/>
            <w:szCs w:val="24"/>
            <w:u w:val="single"/>
          </w:rPr>
          <w:t>u</w:t>
        </w:r>
        <w:bookmarkEnd w:id="1"/>
        <w:r w:rsidRPr="00284044">
          <w:rPr>
            <w:rFonts w:eastAsia="Times New Roman"/>
            <w:color w:val="0000FF"/>
            <w:sz w:val="20"/>
            <w:szCs w:val="24"/>
            <w:u w:val="single"/>
          </w:rPr>
          <w:t>dziks@tm.gov.lv</w:t>
        </w:r>
      </w:hyperlink>
    </w:p>
    <w:p w14:paraId="644E13DF" w14:textId="77777777" w:rsidR="00E55F9C" w:rsidRPr="0087450D" w:rsidRDefault="00E55F9C" w:rsidP="00E55F9C"/>
    <w:p w14:paraId="644E13E0" w14:textId="77777777" w:rsidR="00E55F9C" w:rsidRPr="0087450D" w:rsidRDefault="00E55F9C" w:rsidP="00E55F9C"/>
    <w:p w14:paraId="644E13E1" w14:textId="77777777" w:rsidR="00BE64E3" w:rsidRDefault="00BE64E3"/>
    <w:sectPr w:rsidR="00BE64E3" w:rsidSect="00E55F9C">
      <w:headerReference w:type="default" r:id="rId7"/>
      <w:footerReference w:type="default" r:id="rId8"/>
      <w:headerReference w:type="first" r:id="rId9"/>
      <w:footerReference w:type="first" r:id="rId10"/>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13E4" w14:textId="77777777" w:rsidR="005A050A" w:rsidRDefault="005A050A" w:rsidP="00E55F9C">
      <w:r>
        <w:separator/>
      </w:r>
    </w:p>
  </w:endnote>
  <w:endnote w:type="continuationSeparator" w:id="0">
    <w:p w14:paraId="644E13E5" w14:textId="77777777" w:rsidR="005A050A" w:rsidRDefault="005A050A" w:rsidP="00E5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13E8" w14:textId="0271880D" w:rsidR="007B69EF" w:rsidRPr="00BB4A84" w:rsidRDefault="007B69EF" w:rsidP="007B69EF">
    <w:pPr>
      <w:tabs>
        <w:tab w:val="center" w:pos="4320"/>
        <w:tab w:val="right" w:pos="8640"/>
      </w:tabs>
      <w:rPr>
        <w:sz w:val="20"/>
        <w:szCs w:val="20"/>
      </w:rPr>
    </w:pPr>
    <w:r w:rsidRPr="00BB4A84">
      <w:rPr>
        <w:sz w:val="20"/>
        <w:szCs w:val="20"/>
      </w:rPr>
      <w:t>TM</w:t>
    </w:r>
    <w:r w:rsidR="00EC57C3">
      <w:rPr>
        <w:sz w:val="20"/>
        <w:szCs w:val="20"/>
      </w:rPr>
      <w:t>A</w:t>
    </w:r>
    <w:r w:rsidRPr="00BB4A84">
      <w:rPr>
        <w:sz w:val="20"/>
        <w:szCs w:val="20"/>
      </w:rPr>
      <w:t>tz_VSS-</w:t>
    </w:r>
    <w:r>
      <w:rPr>
        <w:sz w:val="20"/>
        <w:szCs w:val="20"/>
      </w:rPr>
      <w:t>356_19052020</w:t>
    </w:r>
  </w:p>
  <w:p w14:paraId="644E13E9" w14:textId="77777777" w:rsidR="00E55F9C" w:rsidRPr="007B69EF" w:rsidRDefault="00E55F9C" w:rsidP="007B6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13FC" w14:textId="2F9A90D4" w:rsidR="00E55F9C" w:rsidRPr="00BB4A84" w:rsidRDefault="00E55F9C" w:rsidP="00E55F9C">
    <w:pPr>
      <w:tabs>
        <w:tab w:val="center" w:pos="4320"/>
        <w:tab w:val="right" w:pos="8640"/>
      </w:tabs>
      <w:rPr>
        <w:sz w:val="20"/>
        <w:szCs w:val="20"/>
      </w:rPr>
    </w:pPr>
    <w:r w:rsidRPr="00BB4A84">
      <w:rPr>
        <w:sz w:val="20"/>
        <w:szCs w:val="20"/>
      </w:rPr>
      <w:t>TM</w:t>
    </w:r>
    <w:r w:rsidR="00EC57C3">
      <w:rPr>
        <w:sz w:val="20"/>
        <w:szCs w:val="20"/>
      </w:rPr>
      <w:t>A</w:t>
    </w:r>
    <w:r w:rsidRPr="00BB4A84">
      <w:rPr>
        <w:sz w:val="20"/>
        <w:szCs w:val="20"/>
      </w:rPr>
      <w:t>tz_VSS-</w:t>
    </w:r>
    <w:r>
      <w:rPr>
        <w:sz w:val="20"/>
        <w:szCs w:val="20"/>
      </w:rPr>
      <w:t>356</w:t>
    </w:r>
    <w:r w:rsidR="007B69EF">
      <w:rPr>
        <w:sz w:val="20"/>
        <w:szCs w:val="20"/>
      </w:rPr>
      <w:t>_19052020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13E2" w14:textId="77777777" w:rsidR="005A050A" w:rsidRDefault="005A050A" w:rsidP="00E55F9C">
      <w:r>
        <w:separator/>
      </w:r>
    </w:p>
  </w:footnote>
  <w:footnote w:type="continuationSeparator" w:id="0">
    <w:p w14:paraId="644E13E3" w14:textId="77777777" w:rsidR="005A050A" w:rsidRDefault="005A050A" w:rsidP="00E5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7357"/>
      <w:docPartObj>
        <w:docPartGallery w:val="Page Numbers (Top of Page)"/>
        <w:docPartUnique/>
      </w:docPartObj>
    </w:sdtPr>
    <w:sdtEndPr/>
    <w:sdtContent>
      <w:p w14:paraId="644E13E6" w14:textId="77777777" w:rsidR="007B3740" w:rsidRDefault="0090299A">
        <w:pPr>
          <w:pStyle w:val="Header"/>
          <w:jc w:val="center"/>
        </w:pPr>
        <w:r>
          <w:fldChar w:fldCharType="begin"/>
        </w:r>
        <w:r>
          <w:instrText>PAGE   \* MERGEFORMAT</w:instrText>
        </w:r>
        <w:r>
          <w:fldChar w:fldCharType="separate"/>
        </w:r>
        <w:r w:rsidR="007B69EF">
          <w:rPr>
            <w:noProof/>
          </w:rPr>
          <w:t>2</w:t>
        </w:r>
        <w:r>
          <w:fldChar w:fldCharType="end"/>
        </w:r>
      </w:p>
    </w:sdtContent>
  </w:sdt>
  <w:p w14:paraId="644E13E7" w14:textId="77777777" w:rsidR="006C6018" w:rsidRDefault="00EC5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13EA" w14:textId="77777777" w:rsidR="00A34ACB" w:rsidRDefault="00EC57C3" w:rsidP="00A34ACB">
    <w:pPr>
      <w:pStyle w:val="Header"/>
    </w:pPr>
  </w:p>
  <w:p w14:paraId="644E13EB" w14:textId="77777777" w:rsidR="00A34ACB" w:rsidRDefault="0090299A" w:rsidP="00A34ACB">
    <w:pPr>
      <w:pStyle w:val="Header"/>
    </w:pPr>
    <w:r>
      <w:rPr>
        <w:noProof/>
        <w:lang w:eastAsia="lv-LV"/>
      </w:rPr>
      <w:drawing>
        <wp:anchor distT="0" distB="0" distL="114300" distR="114300" simplePos="0" relativeHeight="251661312" behindDoc="1" locked="0" layoutInCell="1" allowOverlap="1" wp14:anchorId="644E13FD" wp14:editId="644E13FE">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13EC" w14:textId="77777777" w:rsidR="00A34ACB" w:rsidRDefault="00EC57C3" w:rsidP="00A34ACB">
    <w:pPr>
      <w:pStyle w:val="Header"/>
    </w:pPr>
  </w:p>
  <w:p w14:paraId="644E13ED" w14:textId="77777777" w:rsidR="00A34ACB" w:rsidRDefault="00EC57C3" w:rsidP="00A34ACB">
    <w:pPr>
      <w:pStyle w:val="Header"/>
    </w:pPr>
  </w:p>
  <w:p w14:paraId="644E13EE" w14:textId="77777777" w:rsidR="00A34ACB" w:rsidRDefault="00EC57C3" w:rsidP="00A34ACB">
    <w:pPr>
      <w:pStyle w:val="Header"/>
    </w:pPr>
  </w:p>
  <w:p w14:paraId="644E13EF" w14:textId="77777777" w:rsidR="00A34ACB" w:rsidRDefault="00EC57C3" w:rsidP="00A34ACB">
    <w:pPr>
      <w:pStyle w:val="Header"/>
    </w:pPr>
  </w:p>
  <w:p w14:paraId="644E13F0" w14:textId="77777777" w:rsidR="00A34ACB" w:rsidRDefault="00EC57C3" w:rsidP="00A34ACB">
    <w:pPr>
      <w:pStyle w:val="Header"/>
    </w:pPr>
  </w:p>
  <w:p w14:paraId="644E13F1" w14:textId="77777777" w:rsidR="00A34ACB" w:rsidRDefault="00EC57C3" w:rsidP="00A34ACB">
    <w:pPr>
      <w:pStyle w:val="Header"/>
    </w:pPr>
  </w:p>
  <w:p w14:paraId="644E13F2" w14:textId="77777777" w:rsidR="00A34ACB" w:rsidRDefault="00EC57C3" w:rsidP="00A34ACB">
    <w:pPr>
      <w:pStyle w:val="Header"/>
    </w:pPr>
  </w:p>
  <w:p w14:paraId="644E13F3" w14:textId="77777777" w:rsidR="00A34ACB" w:rsidRDefault="00EC57C3" w:rsidP="00A34ACB">
    <w:pPr>
      <w:pStyle w:val="Header"/>
    </w:pPr>
  </w:p>
  <w:p w14:paraId="644E13F4" w14:textId="77777777" w:rsidR="00A34ACB" w:rsidRPr="00815277" w:rsidRDefault="0090299A" w:rsidP="00A34ACB">
    <w:pPr>
      <w:pStyle w:val="Header"/>
    </w:pPr>
    <w:r>
      <w:rPr>
        <w:noProof/>
        <w:lang w:eastAsia="lv-LV"/>
      </w:rPr>
      <mc:AlternateContent>
        <mc:Choice Requires="wps">
          <w:drawing>
            <wp:anchor distT="0" distB="0" distL="114300" distR="114300" simplePos="0" relativeHeight="251660288" behindDoc="1" locked="0" layoutInCell="1" allowOverlap="1" wp14:anchorId="644E13FF" wp14:editId="644E1400">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1403" w14:textId="77777777" w:rsidR="00A34ACB" w:rsidRPr="006C6018" w:rsidRDefault="0090299A"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644E1404" w14:textId="77777777" w:rsidR="00A34ACB" w:rsidRPr="006C6018" w:rsidRDefault="0090299A" w:rsidP="00A34ACB">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E13FF"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filled="f" stroked="f">
              <v:textbox inset="0,0,0,0">
                <w:txbxContent>
                  <w:p w14:paraId="644E1403" w14:textId="77777777" w:rsidR="00A34ACB" w:rsidRPr="006C6018" w:rsidRDefault="0090299A" w:rsidP="00A34ACB">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644E1404" w14:textId="77777777" w:rsidR="00A34ACB" w:rsidRPr="006C6018" w:rsidRDefault="0090299A" w:rsidP="00A34ACB">
                    <w:pPr>
                      <w:spacing w:line="194" w:lineRule="exact"/>
                      <w:ind w:left="20" w:right="-45"/>
                      <w:jc w:val="center"/>
                      <w:rPr>
                        <w:rFonts w:eastAsia="Times New Roman"/>
                        <w:sz w:val="17"/>
                        <w:szCs w:val="17"/>
                      </w:rPr>
                    </w:pPr>
                    <w:r w:rsidRPr="006C6018">
                      <w:rPr>
                        <w:rFonts w:eastAsia="Times New Roman"/>
                        <w:sz w:val="17"/>
                        <w:szCs w:val="17"/>
                      </w:rPr>
                      <w:t>e-pasts: tm.kanceleja@tm.gov.lv;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9264" behindDoc="1" locked="0" layoutInCell="1" allowOverlap="1" wp14:anchorId="644E1401" wp14:editId="644E1402">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6FFA7"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644E13F5" w14:textId="77777777" w:rsidR="00AB4E8A" w:rsidRPr="00C836FF" w:rsidRDefault="0090299A" w:rsidP="00AB4E8A">
    <w:pPr>
      <w:jc w:val="center"/>
      <w:rPr>
        <w:szCs w:val="24"/>
      </w:rPr>
    </w:pPr>
    <w:r w:rsidRPr="00C836FF">
      <w:rPr>
        <w:szCs w:val="24"/>
      </w:rPr>
      <w:t>Rīgā</w:t>
    </w:r>
  </w:p>
  <w:p w14:paraId="644E13F6" w14:textId="77777777" w:rsidR="00AB4E8A" w:rsidRPr="00C836FF" w:rsidRDefault="00EC57C3"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644E13FA" w14:textId="77777777" w:rsidTr="00A6153E">
      <w:tc>
        <w:tcPr>
          <w:tcW w:w="1810" w:type="dxa"/>
        </w:tcPr>
        <w:p w14:paraId="644E13F7" w14:textId="77777777" w:rsidR="00E11DA3" w:rsidRDefault="00653B9B" w:rsidP="00E11DA3">
          <w:pPr>
            <w:pStyle w:val="Header"/>
            <w:jc w:val="center"/>
            <w:rPr>
              <w:szCs w:val="24"/>
            </w:rPr>
          </w:pPr>
          <w:r>
            <w:t>19.05.2020</w:t>
          </w:r>
        </w:p>
      </w:tc>
      <w:tc>
        <w:tcPr>
          <w:tcW w:w="420" w:type="dxa"/>
          <w:tcBorders>
            <w:bottom w:val="nil"/>
          </w:tcBorders>
        </w:tcPr>
        <w:p w14:paraId="644E13F8" w14:textId="77777777" w:rsidR="00E11DA3" w:rsidRDefault="0090299A" w:rsidP="00E11DA3">
          <w:pPr>
            <w:pStyle w:val="Header"/>
            <w:rPr>
              <w:szCs w:val="24"/>
            </w:rPr>
          </w:pPr>
          <w:r>
            <w:rPr>
              <w:szCs w:val="24"/>
            </w:rPr>
            <w:t xml:space="preserve"> Nr.</w:t>
          </w:r>
        </w:p>
      </w:tc>
      <w:tc>
        <w:tcPr>
          <w:tcW w:w="1890" w:type="dxa"/>
        </w:tcPr>
        <w:p w14:paraId="644E13F9" w14:textId="77777777" w:rsidR="00E11DA3" w:rsidRDefault="00653B9B" w:rsidP="00E11DA3">
          <w:pPr>
            <w:pStyle w:val="Header"/>
            <w:jc w:val="center"/>
            <w:rPr>
              <w:szCs w:val="24"/>
            </w:rPr>
          </w:pPr>
          <w:r>
            <w:t>1-9.1/511</w:t>
          </w:r>
        </w:p>
      </w:tc>
    </w:tr>
  </w:tbl>
  <w:p w14:paraId="644E13FB" w14:textId="77777777" w:rsidR="00AB4E8A" w:rsidRPr="00C836FF" w:rsidRDefault="00EC57C3" w:rsidP="00E11DA3">
    <w:pPr>
      <w:tabs>
        <w:tab w:val="center" w:pos="4320"/>
        <w:tab w:val="right" w:pos="864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F9C"/>
    <w:rsid w:val="00137FE2"/>
    <w:rsid w:val="001C66F4"/>
    <w:rsid w:val="002153A2"/>
    <w:rsid w:val="00266824"/>
    <w:rsid w:val="00271C6C"/>
    <w:rsid w:val="002F5855"/>
    <w:rsid w:val="003D4B87"/>
    <w:rsid w:val="004A3846"/>
    <w:rsid w:val="005A050A"/>
    <w:rsid w:val="0064581C"/>
    <w:rsid w:val="00653B9B"/>
    <w:rsid w:val="00675730"/>
    <w:rsid w:val="007B69EF"/>
    <w:rsid w:val="007C5010"/>
    <w:rsid w:val="0080123B"/>
    <w:rsid w:val="0080255D"/>
    <w:rsid w:val="008061A8"/>
    <w:rsid w:val="008F08C5"/>
    <w:rsid w:val="0090299A"/>
    <w:rsid w:val="0092676F"/>
    <w:rsid w:val="00BE64E3"/>
    <w:rsid w:val="00C22D2F"/>
    <w:rsid w:val="00C82E5A"/>
    <w:rsid w:val="00D4217B"/>
    <w:rsid w:val="00E55F9C"/>
    <w:rsid w:val="00EC57C3"/>
    <w:rsid w:val="00F82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13C3"/>
  <w15:docId w15:val="{AFAFEE56-1A2A-41CB-B2A0-F89BD1C7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F9C"/>
    <w:pPr>
      <w:widowControl w:val="0"/>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5F9C"/>
    <w:pPr>
      <w:tabs>
        <w:tab w:val="center" w:pos="4320"/>
        <w:tab w:val="right" w:pos="8640"/>
      </w:tabs>
    </w:pPr>
  </w:style>
  <w:style w:type="character" w:customStyle="1" w:styleId="HeaderChar">
    <w:name w:val="Header Char"/>
    <w:basedOn w:val="DefaultParagraphFont"/>
    <w:link w:val="Header"/>
    <w:rsid w:val="00E55F9C"/>
    <w:rPr>
      <w:rFonts w:ascii="Times New Roman" w:eastAsia="Calibri" w:hAnsi="Times New Roman" w:cs="Times New Roman"/>
      <w:sz w:val="24"/>
    </w:rPr>
  </w:style>
  <w:style w:type="table" w:styleId="TableGrid">
    <w:name w:val="Table Grid"/>
    <w:basedOn w:val="TableNormal"/>
    <w:uiPriority w:val="59"/>
    <w:rsid w:val="00E55F9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next w:val="Normal"/>
    <w:uiPriority w:val="1"/>
    <w:qFormat/>
    <w:rsid w:val="00E55F9C"/>
  </w:style>
  <w:style w:type="paragraph" w:styleId="Footer">
    <w:name w:val="footer"/>
    <w:basedOn w:val="Normal"/>
    <w:link w:val="FooterChar"/>
    <w:uiPriority w:val="99"/>
    <w:unhideWhenUsed/>
    <w:rsid w:val="00E55F9C"/>
    <w:pPr>
      <w:tabs>
        <w:tab w:val="center" w:pos="4513"/>
        <w:tab w:val="right" w:pos="9026"/>
      </w:tabs>
    </w:pPr>
  </w:style>
  <w:style w:type="character" w:customStyle="1" w:styleId="FooterChar">
    <w:name w:val="Footer Char"/>
    <w:basedOn w:val="DefaultParagraphFont"/>
    <w:link w:val="Footer"/>
    <w:uiPriority w:val="99"/>
    <w:rsid w:val="00E55F9C"/>
    <w:rPr>
      <w:rFonts w:ascii="Times New Roman" w:eastAsia="Calibri" w:hAnsi="Times New Roman" w:cs="Times New Roman"/>
      <w:sz w:val="24"/>
    </w:rPr>
  </w:style>
  <w:style w:type="paragraph" w:styleId="ListParagraph">
    <w:name w:val="List Paragraph"/>
    <w:basedOn w:val="Normal"/>
    <w:uiPriority w:val="34"/>
    <w:qFormat/>
    <w:rsid w:val="001C6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dis.Rudziks@t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3325</Words>
  <Characters>1896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Rudziks</dc:creator>
  <cp:lastModifiedBy>Vineta Brūvere</cp:lastModifiedBy>
  <cp:revision>3</cp:revision>
  <dcterms:created xsi:type="dcterms:W3CDTF">2020-05-19T11:32:00Z</dcterms:created>
  <dcterms:modified xsi:type="dcterms:W3CDTF">2021-07-16T18:12:00Z</dcterms:modified>
</cp:coreProperties>
</file>