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(18.09.2024.)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plānotā moduļa vardarbības incidentu vadībai (IT risinājums) ieviešanas iespējas, atbilstoši sanāksmēs pārrunātajam, kurās piedalījās Valsts kanceleja, Bērnu aizsardzības centrs un Valsts izglītības attīstības aģentūra. IZM pateicas par ieguldīto darbu projekta īstenošanā un izprot vardarbības incidentu monitoringa nepieciešamību izglītības vidē, tomēr iepriekš minētajās sanāksmēs skaidrojām, ka IT risinājuma integrācija Valsts izglītības informācijas sistēmā - kā projekta “Skola-kopienā” interaktīvā atbalsta platformas atsevišķs modulis, nebūs iespējama. Ņemot vērā, ka plānotajam IT risinājumam jābūt tādam, kur pedagogi ikdienas darbā var ērti strādāt un piekļūt, lai monitorētu vardarbības incidentus, lūdzam rast iespēju šādu funkciju nodrošināt sadarbībā ar e-žurnālu izstrādātajiem.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izņemta sasaiste ar projektu “Skola Kopienā” un veikti precizējumi atbilstoši nolemtajam 29.05.2025. sanāksmē, kurā piedalījās IZM, VK un BAC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21.2.6. Digitālā risinājuma (moduļa)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un anotācijā minētajam digitālais risinājums (modulis) tiek plānots 4.2.3.1.pasākuma IT sistēmas ietvaros. Skaidrojam, ka 4.2.3.1. pasākumā plānotā IT sistēma ir paredzēta 4.2.3.1. pasākuma atbalstāmo darbību un projekta “Skola – kopienā” īstenošanas nodrošināšanai. Spēkā esošie 4.2.3.1. pasākuma īstenošanas MK noteikumi Nr. 483 (https://likumi.lv/ta/id/353690) paredz projekta IT sistēmas sasaisti ar Valsts izglītības informācijas sistēmu (VIIS), bet neparedz tās sasaisti ar vēl citām skolu vidē izmantotām sistēmām un neatbilst 4.3.6.9. pasākumā plānotajam tvērumam. “Skola – kopienā” ir īstenošanā esošs projekts. Jaunā moduļa izstrāde var aizkavēt projekta IT sistēmas attīstīšanu un radīt papildu riskus projekta ieviešanā, kā arī papildu izmaksas sistēmas uzturēšanai. Pateicamies par izteikto piedāvājumu, tomēr lūdzam rast citu iespēju nepieciešamās funkcijas (risinājuma)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plānotā moduļa vardarbības incidentu vadībai (IT risinājums) ieviešanas iespējas, atbilstoši 29.05.2025. sanāksmē pārrunātajam.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21.2.6. digitālā risinājuma (moduļa)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sadaļā Digitālais risinājums (modulis) teikumu: "BAC ir identificējis Valsts izglītības satura centra (turpmāk – VISC)", atbilstoši tagadējam iestādes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BAC ir identificējis Valsts izglītības attīstības aģentūra (turpmāk – VIAA), ja plānots šādu teikumu iekļaut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saīsinājums atbilstoši tagadējam iestādes nosaukumam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"Rādītāji" aicinām precizēt, ka rādītājs "līdz 2029. gada 31. decembrim:  atbalstu saņēmušo bērnu skaits vecumā līdz 18 gadiem – no 4000 uz 3300" sasniedzams 2.kārtas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risinājuma sadaļa papildinot ar rādītājs "līdz 2029. gada 31. decembrim:  atbalstu saņēmušo bērnu skaits vecumā līdz 18 gadiem – no 4000 uz 3300" sasniedzams 2.kārtas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9.punktā izteiktais 27.2. apakšpunkts nosaka izņēmumu attiecībā uz instrukcijas "Ārvalstu finanšu instrumentu finansētu civiltiesisku līgumu izstrādes un slēgšanas instrukcija valsts tiešās pārvaldes iestādēs") (turpmāk - instrukcija) piemērošanu, tad lūdzam minēto izņēmumu saskaņot ar instrukcijas izstrādātāju.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šīs instrukcijas izstrādātājs ir Valsts kanceleja, tad minēto izņēmumu gadījumu riski ir izvērtēti un saskaņoti.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ietvaros ietvert skaidrojumu par izstrādāto grozījumu ietekmi uz finansējuma saņēmējiem, ka arī to vai vienošanos par projekta īstenošanu būs nepieciešamas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nosacījumu, ka jāveic grozījumi projektu iesniegumos 1. un 2.kārtā.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sarakstu ar </w:t>
            </w:r>
            <w:r w:rsidR="00000000" w:rsidRPr="00000000" w:rsidDel="00000000">
              <w:rPr>
                <w:rtl w:val="0"/>
              </w:rPr>
              <w:t xml:space="preserve">Valsts izglītības attīstības aģentūru kā potenciālo projekta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7.1.sadaļa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papildināts ar jaunajiem grozījumiem attiecībā uz 4.3.6.9. pasākuma finansējumu, atbilstoši ierosinātiem grozījumiem Eiropas Savienības kohēzijas politikas programmā 2021.–2027. gadam, kuri vēl nav apstiprināti no Eiropas Komisijas puses, lūdzam papildināt Ministru kabineta sēdes protokollēmuma projektu ar punktu kas paredz atbildīgās iestādes rīcību, gadījumā, ja Eiropas Komisija neatbalsta ierosinātos grozījumus Eiropas Savienības kohēzijas politikas programmā 2021.–2027. gadam, attiecībā uz 4.3.6.9. pasākuma finansējuma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informēt Ministru kabinetu par tālākām rīcībām 4.3.6.9. pasākuma "Ģimenei draudzīgas vides un sabiedrības veidošana un intervences psiholoģiskā un emocionālā noturīguma veicināšanai" īstenošanā, ja Eiropas Komisija neatbalsta Eiropas Savienības kohēzijas politikas programmas 2021.–2027. gadam grozījumu priekšlikumu par šī pasākuma finansējuma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informēt Ministru kabinetu par tālākām rīcībām 4.3.6.9. pasākuma "Ģimenei draudzīgas vides un sabiedrības veidošana un intervences psiholoģiskā un emocionālā noturīguma veicināšanai" īstenošanā, ja Eiropas Komisija neatbalsta Eiropas Savienības kohēzijas politikas programmas 2021.–2027. gadam grozījumu priekšlikumu par šī pasākuma finansējuma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izteikt jaunā redakcijā 4.3.6.9. pasākuma īstenošanas MK noteikumu Nr. 258 27.1.1. un 27.7. apakšpunktu, atsaucoties uz spēkā esošo Eiropas Parlamenta un Padomes 2024. gada 23. septembra Regulu (ES, Euratom) 2024/2509 par finanšu noteikumiem, ko piemēro Savienības vispārējam budžetam (pārstrādāta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jaunajai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pirmajā kārtā plānotais kopējais finansējums Sabiedrības integrācijas fondam ir 9 766 494 euro, ko veido Eiropas Sociālā fonda Plus finansējums 8 301 520 euro apmērā un valsts budžeta līdzfinansējums 1 464 974 euro apmērā. Projekta iesniegumā kopējo pieejamo finansējumu plāno ne vairāk kā 8 397 548 </w:t>
            </w:r>
            <w:r w:rsidR="00000000" w:rsidRPr="00000000" w:rsidDel="00000000">
              <w:rPr>
                <w:i w:val="1"/>
                <w:rtl w:val="0"/>
              </w:rPr>
              <w:t xml:space="preserve">euro </w:t>
            </w:r>
            <w:r w:rsidR="00000000" w:rsidRPr="00000000" w:rsidDel="00000000">
              <w:rPr>
                <w:rtl w:val="0"/>
              </w:rPr>
              <w:t xml:space="preserve">apmērā, ko veido Eiropas Sociālā fonda Plus finansējums 7 137 915 </w:t>
            </w:r>
            <w:r w:rsidR="00000000" w:rsidRPr="00000000" w:rsidDel="00000000">
              <w:rPr>
                <w:i w:val="1"/>
                <w:rtl w:val="0"/>
              </w:rPr>
              <w:t xml:space="preserve">euro </w:t>
            </w:r>
            <w:r w:rsidR="00000000" w:rsidRPr="00000000" w:rsidDel="00000000">
              <w:rPr>
                <w:rtl w:val="0"/>
              </w:rPr>
              <w:t xml:space="preserve">apmērā un valsts budžeta finansējums 1 259 633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finansējuma sadalījumu par kārtām, lai nodrošinātu, ka katrā kārtā Eiropas Sociālā fonda Plus finansējuma apmērs nepārsniedz 85 procentus, atbilstoši Eiropas Savienības kohēzijas politikas programmas 2021.–2027. gadam grozījumos Nr.3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kārtā plānotais kopējais finansējums Sabiedrības integrācijas fondam ir 9 766 49</w:t>
            </w:r>
            <w:r w:rsidR="00000000" w:rsidRPr="00000000" w:rsidDel="00000000">
              <w:rPr>
                <w:b w:val="1"/>
                <w:u w:val="single"/>
                <w:rtl w:val="0"/>
              </w:rPr>
              <w:t xml:space="preserve">5</w:t>
            </w:r>
            <w:r w:rsidR="00000000" w:rsidRPr="00000000" w:rsidDel="00000000">
              <w:rPr>
                <w:rtl w:val="0"/>
              </w:rPr>
              <w:t xml:space="preserve"> euro, ko veido Eiropas Sociālā fonda Plus finansējums 8 301 520 euro apmērā un valsts budžeta līdzfinansējums 1 464 97</w:t>
            </w:r>
            <w:r w:rsidR="00000000" w:rsidRPr="00000000" w:rsidDel="00000000">
              <w:rPr>
                <w:b w:val="1"/>
                <w:u w:val="single"/>
                <w:rtl w:val="0"/>
              </w:rPr>
              <w:t xml:space="preserve">5</w:t>
            </w:r>
            <w:r w:rsidR="00000000" w:rsidRPr="00000000" w:rsidDel="00000000">
              <w:rPr>
                <w:rtl w:val="0"/>
              </w:rPr>
              <w:t xml:space="preserve"> euro apmērā. Projekta iesniegumā kopējo pieejamo finansējumu plāno ne vairāk kā 8 397 548 euro apmērā, ko veido Eiropas Sociālā fonda Plus finansējums 7 137 915 euro apmērā un valsts budžeta finansējums 1 259 633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kārtā plānotais kopējais finansējums Valsts kancelejai ir 5 146 73</w:t>
            </w:r>
            <w:r w:rsidR="00000000" w:rsidRPr="00000000" w:rsidDel="00000000">
              <w:rPr>
                <w:b w:val="1"/>
                <w:u w:val="single"/>
                <w:rtl w:val="0"/>
              </w:rPr>
              <w:t xml:space="preserve">3</w:t>
            </w:r>
            <w:r w:rsidR="00000000" w:rsidRPr="00000000" w:rsidDel="00000000">
              <w:rPr>
                <w:rtl w:val="0"/>
              </w:rPr>
              <w:t xml:space="preserve"> euro, ko veido Eiropas Sociālā fonda Plus finansējums 4 374 723 euro apmērā un valsts budžeta līdzfinansējums 772 01</w:t>
            </w:r>
            <w:r w:rsidR="00000000" w:rsidRPr="00000000" w:rsidDel="00000000">
              <w:rPr>
                <w:b w:val="1"/>
                <w:u w:val="single"/>
                <w:rtl w:val="0"/>
              </w:rPr>
              <w:t xml:space="preserve">0</w:t>
            </w:r>
            <w:r w:rsidR="00000000" w:rsidRPr="00000000" w:rsidDel="00000000">
              <w:rPr>
                <w:rtl w:val="0"/>
              </w:rPr>
              <w:t xml:space="preserve"> euro apmērā. Projekta iesniegumā kopējo pieejamo finansējumu plāno ne vairāk kā 4 425 328 euro apmērā, ko veido Eiropas Sociālā fonda Plus finansējums 3 761 528 euro apmērā un valsts budžeta līdzfinansējums 663 800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finansējuma sadalījums par kārtām, lai nodrošinātu, ka katrā kārtā Eiropas Sociālā fonda Plus finansējuma apmērs nepārsniedz 85 procentus, atbilstoši Eiropas Savienības kohēzijas politikas programmas 2021.–2027. gadam grozījumos Nr.3 plānotajam.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pirmajā kārtā plānotais kopējais finansējums Sabiedrības integrācijas fondam ir 9 766 495 </w:t>
            </w:r>
            <w:r w:rsidR="00000000" w:rsidRPr="00000000" w:rsidDel="00000000">
              <w:rPr>
                <w:i w:val="1"/>
                <w:rtl w:val="0"/>
              </w:rPr>
              <w:t xml:space="preserve">euro</w:t>
            </w:r>
            <w:r w:rsidR="00000000" w:rsidRPr="00000000" w:rsidDel="00000000">
              <w:rPr>
                <w:rtl w:val="0"/>
              </w:rPr>
              <w:t xml:space="preserve">, ko veido Eiropas Sociālā fonda Plus finansējums 8 301 520 </w:t>
            </w:r>
            <w:r w:rsidR="00000000" w:rsidRPr="00000000" w:rsidDel="00000000">
              <w:rPr>
                <w:i w:val="1"/>
                <w:rtl w:val="0"/>
              </w:rPr>
              <w:t xml:space="preserve">euro </w:t>
            </w:r>
            <w:r w:rsidR="00000000" w:rsidRPr="00000000" w:rsidDel="00000000">
              <w:rPr>
                <w:rtl w:val="0"/>
              </w:rPr>
              <w:t xml:space="preserve">apmērā un valsts budžeta līdzfinansējums 1 464 975 </w:t>
            </w:r>
            <w:r w:rsidR="00000000" w:rsidRPr="00000000" w:rsidDel="00000000">
              <w:rPr>
                <w:i w:val="1"/>
                <w:rtl w:val="0"/>
              </w:rPr>
              <w:t xml:space="preserve">euro </w:t>
            </w:r>
            <w:r w:rsidR="00000000" w:rsidRPr="00000000" w:rsidDel="00000000">
              <w:rPr>
                <w:rtl w:val="0"/>
              </w:rPr>
              <w:t xml:space="preserve">apmērā. Projekta iesniegumā kopējo pieejamo finansējumu plāno ne vairāk kā 8 397 548 </w:t>
            </w:r>
            <w:r w:rsidR="00000000" w:rsidRPr="00000000" w:rsidDel="00000000">
              <w:rPr>
                <w:i w:val="1"/>
                <w:rtl w:val="0"/>
              </w:rPr>
              <w:t xml:space="preserve">euro </w:t>
            </w:r>
            <w:r w:rsidR="00000000" w:rsidRPr="00000000" w:rsidDel="00000000">
              <w:rPr>
                <w:rtl w:val="0"/>
              </w:rPr>
              <w:t xml:space="preserve">apmērā, ko veido Eiropas Sociālā fonda Plus finansējums 7 137 915 </w:t>
            </w:r>
            <w:r w:rsidR="00000000" w:rsidRPr="00000000" w:rsidDel="00000000">
              <w:rPr>
                <w:i w:val="1"/>
                <w:rtl w:val="0"/>
              </w:rPr>
              <w:t xml:space="preserve">euro </w:t>
            </w:r>
            <w:r w:rsidR="00000000" w:rsidRPr="00000000" w:rsidDel="00000000">
              <w:rPr>
                <w:rtl w:val="0"/>
              </w:rPr>
              <w:t xml:space="preserve">apmērā un valsts budžeta finansējums 1 259 633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21.2.6. Digitālā risinājuma (moduļa)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20.punktā, kurā tiek uzskaitītas visas pasākumā plānotās darbības, nav minēta šī ar grozījumiem pievienotā darbība “Digitālā risinājuma (moduļa) izstrāde”, kas attiecināma tikai 2. kārtas pasākumam. Lūdzam attiecīgi papildināt arī noteikumu 20. punktu, paredzot darbību “Digitālā risinājuma (moduļa) izstrāde” kā jaunu 20. punkta apakšdarbību, vai arī ar to papildinot jau kādu 20. punktā minēto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20. punkts, paredzot darbību “Digitālā risinājuma (moduļa) izstrāde” kā jaunu 20. punkta apakšdarbību-20.2.6.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21.2.6. digitālā risinājuma (moduļa)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veido šo noteikumu </w:t>
            </w:r>
            <w:r w:rsidR="00000000" w:rsidRPr="00000000" w:rsidDel="00000000">
              <w:rPr>
                <w:rtl w:val="0"/>
              </w:rPr>
              <w:t xml:space="preserve">20.5.</w:t>
            </w:r>
            <w:r w:rsidR="00000000" w:rsidRPr="00000000" w:rsidDel="00000000">
              <w:rPr>
                <w:rtl w:val="0"/>
              </w:rPr>
              <w:t xml:space="preserve"> 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pasākuma pirmajā kārtā plāno kā vienu izmaksu pozīciju – vienoto likmi 13 procentu apmērā no pārējām šo noteikumu </w:t>
            </w:r>
            <w:r w:rsidR="00000000" w:rsidRPr="00000000" w:rsidDel="00000000">
              <w:rPr>
                <w:rtl w:val="0"/>
              </w:rPr>
              <w:t xml:space="preserve">7.1.</w:t>
            </w:r>
            <w:r w:rsidR="00000000" w:rsidRPr="00000000" w:rsidDel="00000000">
              <w:rPr>
                <w:rtl w:val="0"/>
              </w:rPr>
              <w:t xml:space="preserve"> apakšpunktā minētajām projekta tiešajām attiecināmajām īstenošanas izmaksām, kas nav tiešās attiecināmās personāla izmaksas, pasākuma otrajā kārtā plāno  šo noteikumu 20.5. apakšpunktā minētās atbalstāmās darbības attiecināmās izmaksas kā faktiskās izmaksas. Minētās atbalstāmās darbības ietvaros ir attiecināmas finansējuma saņēmēja un sadarbības partnera projekta vadības personāla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ja otrās kārtas ietvaros finansējuma saņēmēja un sadarbības partnera projekta vadības un īstenošanas personāla iesaiste projektā tiek nodrošināta saskaņā ar daļlaika izmaksu attiecināmības principu, attiecināma ir ne mazāka kā 30 procentu noslodze. Skaidrojam - tā kā 2. kārtas projektā personāla izmaksas paredzēts attiecināt kā faktiskās izmaksas retroaktīvi, no projekta sākuma datuma 01.01.2024., tad jāievēro šajā laika periodā spēkā esošajās Vadošās iestādes Attiecināmo izmaksu vadlīnijās noteiktie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vienotai izpratnei lūdzam skaidrot, vai personāla veselības apdrošināšanas izmaksas, redzes korekcijas līdzekļu kompensācijas izmaksas un obligātās veselības pārbaudes izmaksas tiek plānotas kā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veido šo noteikumu </w:t>
            </w:r>
            <w:r w:rsidR="00000000" w:rsidRPr="00000000" w:rsidDel="00000000">
              <w:rPr>
                <w:rtl w:val="0"/>
              </w:rPr>
              <w:t xml:space="preserve">20.5.</w:t>
            </w:r>
            <w:r w:rsidR="00000000" w:rsidRPr="00000000" w:rsidDel="00000000">
              <w:rPr>
                <w:rtl w:val="0"/>
              </w:rPr>
              <w:t xml:space="preserve"> 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pasākuma pirmajā kārtā plāno kā vienu izmaksu pozīciju – vienoto likmi 13 procentu apmērā no pārējām šo noteikumu </w:t>
            </w:r>
            <w:r w:rsidR="00000000" w:rsidRPr="00000000" w:rsidDel="00000000">
              <w:rPr>
                <w:rtl w:val="0"/>
              </w:rPr>
              <w:t xml:space="preserve">7.1.</w:t>
            </w:r>
            <w:r w:rsidR="00000000" w:rsidRPr="00000000" w:rsidDel="00000000">
              <w:rPr>
                <w:rtl w:val="0"/>
              </w:rPr>
              <w:t xml:space="preserve"> apakšpunktā minētajām projekta tiešajām attiecināmajām īstenošanas izmaksām, kas nav tiešās attiecināmās personāla izmaksas, pasākuma otrajā kārtā plāno  šo noteikumu 20.5. apakšpunktā minētās atbalstāmās darbības attiecināmās izmaksas kā faktiskās izmaksas. Minētās atbalstāmās darbības ietvaros ir attiecināmas finansējuma saņēmēja un sadarbības partnera projekta vadības personāla un īstenošanas personāla izmaksas, ja otrās kārtas ietvaros finansējuma saņēmēja un sadarbības partnera projekta vadības un īstenošanas personāla iesaiste projektā tiek nodrošināta saskaņā ar daļlaika izmaksu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w:t>
            </w:r>
            <w:r w:rsidR="00000000" w:rsidRPr="00000000" w:rsidDel="00000000">
              <w:rPr>
                <w:rtl w:val="0"/>
              </w:rPr>
              <w:t xml:space="preserve">Eiropas Parlamenta un Padomes 2024. gada 23. septembra Regula (ES, Euratom) 2024/2509 par finanšu noteikumiem, ko piemēro Savienības vispārējam budžetam (pārstrādāta redakcija</w:t>
            </w:r>
            <w:r w:rsidR="00000000" w:rsidRPr="00000000" w:rsidDel="00000000">
              <w:rPr>
                <w:rtl w:val="0"/>
              </w:rPr>
              <w:t xml:space="preserve"> )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2024. gada 20. janvārī apstiprinātā Valsts rīcības plāna pasākuma  35.4. darbības rezultāts ietver aicinājumu ES fondu atbildīgajām iestādēm pārskatīt to pārziņā esošo ES fondu normatīvo regulējumu un iesniegt izskatīšanai Ministru kabinetā atbilstošos grozījumus MK noteikumos par specifisko atbalsta mērķu īstenošanu tajā, paredzot atteikties no prasībām, kas nav noteiktas kā obligātas saskaņā ar ES un Latvijas tiesību aktiem. Tādējādi aicinām izvērtēt noteikumu projekta 12.punktā izteiktā 27.1.1. apakšpunkta un 14.punktā izteiktā 27.7. apakšpunkta nepieciešamību,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veikti precizējumi 26.05.( izziņas 10.punkts), tad redakcija ar šiem grozījumiem netiks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pasākumus interešu konflikta riska kontrolei atbalsta piešķiršanas procedūrā un publiskajos iepirkumos (preventīvus pasākumus un konstatēšanas pasākumus interešu konflikta riska kontrolei, tai skaitā paziņošanas procedūru un labošanas pasākumus), ietverot informāciju par interešu konflikta novēršanu saskaņā ar </w:t>
            </w:r>
            <w:r w:rsidR="00000000" w:rsidRPr="00000000" w:rsidDel="00000000">
              <w:rPr>
                <w:rtl w:val="0"/>
              </w:rPr>
              <w:t xml:space="preserve">Eiropas Parlamenta un Padomes 2024. gada 23. septembra Regulu (ES, Euratom) 2024/2509 par finanšu noteikumiem, ko piemēro Savienības vispārējam budžetam (pārstrādāta redakcija</w:t>
            </w:r>
            <w:r w:rsidR="00000000" w:rsidRPr="00000000" w:rsidDel="00000000">
              <w:rPr>
                <w:rtl w:val="0"/>
              </w:rPr>
              <w:t xml:space="preserve">) (turpmāk – Regula 2024/2509).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w:t>
            </w:r>
            <w:r w:rsidR="00000000" w:rsidRPr="00000000" w:rsidDel="00000000">
              <w:rPr>
                <w:rtl w:val="0"/>
              </w:rPr>
              <w:t xml:space="preserve">1296/2013</w:t>
            </w:r>
            <w:r w:rsidR="00000000" w:rsidRPr="00000000" w:rsidDel="00000000">
              <w:rPr>
                <w:rtl w:val="0"/>
              </w:rPr>
              <w:t xml:space="preserve">, (ES)  </w:t>
            </w:r>
            <w:r w:rsidR="00000000" w:rsidRPr="00000000" w:rsidDel="00000000">
              <w:rPr>
                <w:rtl w:val="0"/>
              </w:rPr>
              <w:t xml:space="preserve">1301/2013</w:t>
            </w:r>
            <w:r w:rsidR="00000000" w:rsidRPr="00000000" w:rsidDel="00000000">
              <w:rPr>
                <w:rtl w:val="0"/>
              </w:rPr>
              <w:t xml:space="preserve">, (ES)  </w:t>
            </w:r>
            <w:r w:rsidR="00000000" w:rsidRPr="00000000" w:rsidDel="00000000">
              <w:rPr>
                <w:rtl w:val="0"/>
              </w:rPr>
              <w:t xml:space="preserve">1303/2013</w:t>
            </w:r>
            <w:r w:rsidR="00000000" w:rsidRPr="00000000" w:rsidDel="00000000">
              <w:rPr>
                <w:rtl w:val="0"/>
              </w:rPr>
              <w:t xml:space="preserve">, (ES)  </w:t>
            </w:r>
            <w:r w:rsidR="00000000" w:rsidRPr="00000000" w:rsidDel="00000000">
              <w:rPr>
                <w:rtl w:val="0"/>
              </w:rPr>
              <w:t xml:space="preserve">1304/2013</w:t>
            </w:r>
            <w:r w:rsidR="00000000" w:rsidRPr="00000000" w:rsidDel="00000000">
              <w:rPr>
                <w:rtl w:val="0"/>
              </w:rPr>
              <w:t xml:space="preserve">, (ES)  </w:t>
            </w:r>
            <w:r w:rsidR="00000000" w:rsidRPr="00000000" w:rsidDel="00000000">
              <w:rPr>
                <w:rtl w:val="0"/>
              </w:rPr>
              <w:t xml:space="preserve">1309/2013</w:t>
            </w:r>
            <w:r w:rsidR="00000000" w:rsidRPr="00000000" w:rsidDel="00000000">
              <w:rPr>
                <w:rtl w:val="0"/>
              </w:rPr>
              <w:t xml:space="preserve">, (ES)  </w:t>
            </w:r>
            <w:r w:rsidR="00000000" w:rsidRPr="00000000" w:rsidDel="00000000">
              <w:rPr>
                <w:rtl w:val="0"/>
              </w:rPr>
              <w:t xml:space="preserve">1316/2013</w:t>
            </w:r>
            <w:r w:rsidR="00000000" w:rsidRPr="00000000" w:rsidDel="00000000">
              <w:rPr>
                <w:rtl w:val="0"/>
              </w:rPr>
              <w:t xml:space="preserve">, (ES)  </w:t>
            </w:r>
            <w:r w:rsidR="00000000" w:rsidRPr="00000000" w:rsidDel="00000000">
              <w:rPr>
                <w:rtl w:val="0"/>
              </w:rPr>
              <w:t xml:space="preserve">223/2014</w:t>
            </w:r>
            <w:r w:rsidR="00000000" w:rsidRPr="00000000" w:rsidDel="00000000">
              <w:rPr>
                <w:rtl w:val="0"/>
              </w:rPr>
              <w:t xml:space="preserve">, (ES)  </w:t>
            </w:r>
            <w:r w:rsidR="00000000" w:rsidRPr="00000000" w:rsidDel="00000000">
              <w:rPr>
                <w:rtl w:val="0"/>
              </w:rPr>
              <w:t xml:space="preserve">283/2014</w:t>
            </w:r>
            <w:r w:rsidR="00000000" w:rsidRPr="00000000" w:rsidDel="00000000">
              <w:rPr>
                <w:rtl w:val="0"/>
              </w:rPr>
              <w:t xml:space="preserve"> un Lēmumu 541/2014/ES un atceļ Regulu (ES, </w:t>
            </w:r>
            <w:r w:rsidR="00000000" w:rsidRPr="00000000" w:rsidDel="00000000">
              <w:rPr>
                <w:i w:val="1"/>
                <w:rtl w:val="0"/>
              </w:rPr>
              <w:t xml:space="preserve">Euratom</w:t>
            </w:r>
            <w:r w:rsidR="00000000" w:rsidRPr="00000000" w:rsidDel="00000000">
              <w:rPr>
                <w:rtl w:val="0"/>
              </w:rPr>
              <w:t xml:space="preserve">) 966/2012,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Lūdzam atbilstoši precizēt atsauci noteikumu projekta 27.1.1.  un 27.7. apakšpunktā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pasākumus interešu konflikta riska kontrolei atbalsta piešķiršanas procedūrā un publiskajos iepirkumos (preventīvus pasākumus un konstatēšanas pasākumus interešu konflikta riska kontrolei, tai skaitā paziņošanas procedūru un labošanas pasākumus), ietverot informāciju par interešu konflikta novēršanu saskaņā ar </w:t>
            </w:r>
            <w:r w:rsidR="00000000" w:rsidRPr="00000000" w:rsidDel="00000000">
              <w:rPr>
                <w:rtl w:val="0"/>
              </w:rPr>
              <w:t xml:space="preserve">Eiropas Parlamenta un Padomes 2024. gada 23. septembra Regulu (ES, Euratom) 2024/2509 par finanšu noteikumiem, ko piemēro Savienības vispārējam budžetam (pārstrādāta redakcija</w:t>
            </w:r>
            <w:r w:rsidR="00000000" w:rsidRPr="00000000" w:rsidDel="00000000">
              <w:rPr>
                <w:rtl w:val="0"/>
              </w:rPr>
              <w:t xml:space="preserve">) (turpmāk – Regula 2024/2509).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25-TA-536</w:t>
    </w:r>
    <w:r>
      <w:br/>
    </w:r>
    <w:r w:rsidR="00000000" w:rsidRPr="00000000" w:rsidDel="00000000">
      <w:rPr>
        <w:rtl w:val="0"/>
      </w:rPr>
      <w:t xml:space="preserve">02.07.2025. 17.11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25-TA-536</w:t>
    </w:r>
    <w:r>
      <w:br/>
    </w:r>
    <w:r w:rsidR="00000000" w:rsidRPr="00000000" w:rsidDel="00000000">
      <w:rPr>
        <w:rtl w:val="0"/>
      </w:rPr>
      <w:t xml:space="preserve">02.07.2025. 17.11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Izziņa_25-TA-536.docx</dc:title>
</cp:coreProperties>
</file>

<file path=docProps/custom.xml><?xml version="1.0" encoding="utf-8"?>
<Properties xmlns="http://schemas.openxmlformats.org/officeDocument/2006/custom-properties" xmlns:vt="http://schemas.openxmlformats.org/officeDocument/2006/docPropsVTypes"/>
</file>