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04EE" w14:textId="4D6D93FC" w:rsidR="004F5136" w:rsidRPr="005325B4" w:rsidRDefault="004F5136" w:rsidP="005325B4">
      <w:pPr>
        <w:spacing w:after="0" w:line="240" w:lineRule="auto"/>
        <w:jc w:val="both"/>
        <w:rPr>
          <w:rFonts w:ascii="Times New Roman" w:hAnsi="Times New Roman" w:cs="Times New Roman"/>
          <w:bCs/>
          <w:sz w:val="24"/>
          <w:szCs w:val="24"/>
        </w:rPr>
      </w:pPr>
      <w:bookmarkStart w:id="0" w:name="_Hlk27466394"/>
      <w:r w:rsidRPr="005325B4">
        <w:rPr>
          <w:rFonts w:ascii="Times New Roman" w:hAnsi="Times New Roman" w:cs="Times New Roman"/>
          <w:bCs/>
          <w:sz w:val="24"/>
          <w:szCs w:val="24"/>
        </w:rPr>
        <w:t xml:space="preserve">Rīgā, 2020.gada </w:t>
      </w:r>
      <w:r w:rsidR="002D0F87">
        <w:rPr>
          <w:rFonts w:ascii="Times New Roman" w:hAnsi="Times New Roman" w:cs="Times New Roman"/>
          <w:bCs/>
          <w:sz w:val="24"/>
          <w:szCs w:val="24"/>
        </w:rPr>
        <w:t>14</w:t>
      </w:r>
      <w:r w:rsidRPr="005325B4">
        <w:rPr>
          <w:rFonts w:ascii="Times New Roman" w:hAnsi="Times New Roman" w:cs="Times New Roman"/>
          <w:bCs/>
          <w:sz w:val="24"/>
          <w:szCs w:val="24"/>
        </w:rPr>
        <w:t>.</w:t>
      </w:r>
      <w:r w:rsidR="002D0F87">
        <w:rPr>
          <w:rFonts w:ascii="Times New Roman" w:hAnsi="Times New Roman" w:cs="Times New Roman"/>
          <w:bCs/>
          <w:sz w:val="24"/>
          <w:szCs w:val="24"/>
        </w:rPr>
        <w:t>augustā</w:t>
      </w:r>
    </w:p>
    <w:p w14:paraId="528DED82" w14:textId="3A4E0B29" w:rsidR="004F5136" w:rsidRPr="00176C2F" w:rsidRDefault="004F5136" w:rsidP="005325B4">
      <w:pPr>
        <w:spacing w:after="0" w:line="240" w:lineRule="auto"/>
        <w:jc w:val="both"/>
        <w:rPr>
          <w:rFonts w:ascii="Times New Roman" w:hAnsi="Times New Roman" w:cs="Times New Roman"/>
          <w:bCs/>
          <w:sz w:val="24"/>
          <w:szCs w:val="24"/>
        </w:rPr>
      </w:pPr>
      <w:r w:rsidRPr="005325B4">
        <w:rPr>
          <w:rFonts w:ascii="Times New Roman" w:hAnsi="Times New Roman" w:cs="Times New Roman"/>
          <w:bCs/>
          <w:sz w:val="24"/>
          <w:szCs w:val="24"/>
        </w:rPr>
        <w:t>Nr.</w:t>
      </w:r>
      <w:r w:rsidR="00E164CD" w:rsidRPr="00E164CD">
        <w:rPr>
          <w:rFonts w:ascii="Segoe UI" w:hAnsi="Segoe UI" w:cs="Segoe UI"/>
          <w:b/>
          <w:bCs/>
          <w:color w:val="444444"/>
          <w:shd w:val="clear" w:color="auto" w:fill="FFFFFF"/>
        </w:rPr>
        <w:t xml:space="preserve"> </w:t>
      </w:r>
      <w:r w:rsidR="007F0165" w:rsidRPr="007F0165">
        <w:rPr>
          <w:rFonts w:ascii="Segoe UI" w:hAnsi="Segoe UI" w:cs="Segoe UI"/>
          <w:color w:val="444444"/>
        </w:rPr>
        <w:t>07/02-16/126</w:t>
      </w:r>
    </w:p>
    <w:p w14:paraId="282AFE42" w14:textId="1468E972" w:rsidR="0020715C" w:rsidRPr="005325B4" w:rsidRDefault="0020715C" w:rsidP="002D0F87">
      <w:pPr>
        <w:spacing w:after="0" w:line="240" w:lineRule="auto"/>
        <w:rPr>
          <w:rFonts w:ascii="Times New Roman" w:hAnsi="Times New Roman" w:cs="Times New Roman"/>
          <w:sz w:val="24"/>
          <w:szCs w:val="24"/>
        </w:rPr>
      </w:pPr>
    </w:p>
    <w:p w14:paraId="2CECC238" w14:textId="7219A706" w:rsidR="0020715C" w:rsidRPr="005325B4" w:rsidRDefault="002D0F87" w:rsidP="005325B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Latvijas Republikas Finanšu ministrijai</w:t>
      </w:r>
    </w:p>
    <w:p w14:paraId="67365AA8" w14:textId="626574FD" w:rsidR="0020715C" w:rsidRPr="005325B4" w:rsidRDefault="002D0F87" w:rsidP="005325B4">
      <w:pPr>
        <w:spacing w:after="0" w:line="240" w:lineRule="auto"/>
        <w:jc w:val="right"/>
        <w:rPr>
          <w:rFonts w:ascii="Times New Roman" w:hAnsi="Times New Roman" w:cs="Times New Roman"/>
          <w:sz w:val="24"/>
          <w:szCs w:val="24"/>
        </w:rPr>
      </w:pPr>
      <w:r w:rsidRPr="002D0F87">
        <w:rPr>
          <w:rFonts w:ascii="Times New Roman" w:hAnsi="Times New Roman" w:cs="Times New Roman"/>
          <w:iCs/>
          <w:sz w:val="24"/>
          <w:szCs w:val="24"/>
        </w:rPr>
        <w:t>E-pasts:</w:t>
      </w:r>
      <w:r>
        <w:t xml:space="preserve"> </w:t>
      </w:r>
      <w:hyperlink r:id="rId11" w:history="1">
        <w:r w:rsidRPr="009443BB">
          <w:rPr>
            <w:rStyle w:val="Hyperlink"/>
            <w:rFonts w:ascii="Times New Roman" w:eastAsia="Times New Roman" w:hAnsi="Times New Roman" w:cs="Times New Roman"/>
            <w:sz w:val="24"/>
            <w:szCs w:val="24"/>
          </w:rPr>
          <w:t>pasts@fm.gov.lv</w:t>
        </w:r>
      </w:hyperlink>
      <w:r w:rsidR="0020715C" w:rsidRPr="00A77EDD">
        <w:rPr>
          <w:rFonts w:ascii="Times New Roman" w:eastAsia="Times New Roman" w:hAnsi="Times New Roman" w:cs="Times New Roman"/>
          <w:sz w:val="24"/>
          <w:szCs w:val="24"/>
        </w:rPr>
        <w:t xml:space="preserve"> </w:t>
      </w:r>
    </w:p>
    <w:p w14:paraId="17D06820" w14:textId="54C8110F" w:rsidR="0020715C" w:rsidRDefault="00000000" w:rsidP="005325B4">
      <w:pPr>
        <w:spacing w:after="0" w:line="240" w:lineRule="auto"/>
        <w:jc w:val="right"/>
        <w:rPr>
          <w:rFonts w:ascii="Times New Roman" w:hAnsi="Times New Roman" w:cs="Times New Roman"/>
          <w:bCs/>
          <w:sz w:val="24"/>
          <w:szCs w:val="24"/>
          <w:u w:val="single"/>
        </w:rPr>
      </w:pPr>
      <w:hyperlink r:id="rId12" w:history="1">
        <w:r w:rsidR="002D0F87" w:rsidRPr="009443BB">
          <w:rPr>
            <w:rStyle w:val="Hyperlink"/>
            <w:rFonts w:ascii="Times New Roman" w:hAnsi="Times New Roman" w:cs="Times New Roman"/>
            <w:bCs/>
            <w:sz w:val="24"/>
            <w:szCs w:val="24"/>
          </w:rPr>
          <w:t>Inese.Albova@fm.gov.lv</w:t>
        </w:r>
      </w:hyperlink>
    </w:p>
    <w:p w14:paraId="2D4C183F" w14:textId="77777777" w:rsidR="002D0F87" w:rsidRPr="005325B4" w:rsidRDefault="002D0F87" w:rsidP="005325B4">
      <w:pPr>
        <w:spacing w:after="0" w:line="240" w:lineRule="auto"/>
        <w:jc w:val="right"/>
        <w:rPr>
          <w:rFonts w:ascii="Times New Roman" w:hAnsi="Times New Roman" w:cs="Times New Roman"/>
          <w:bCs/>
          <w:sz w:val="24"/>
          <w:szCs w:val="24"/>
          <w:u w:val="single"/>
        </w:rPr>
      </w:pPr>
    </w:p>
    <w:p w14:paraId="3DAFF4AF" w14:textId="7B58E8E4" w:rsidR="004F5136" w:rsidRDefault="004F5136" w:rsidP="005325B4">
      <w:pPr>
        <w:spacing w:after="0" w:line="240" w:lineRule="auto"/>
        <w:rPr>
          <w:rFonts w:ascii="Times New Roman" w:hAnsi="Times New Roman" w:cs="Times New Roman"/>
          <w:b/>
          <w:bCs/>
          <w:i/>
          <w:sz w:val="24"/>
          <w:szCs w:val="24"/>
        </w:rPr>
      </w:pPr>
      <w:r w:rsidRPr="005924F9">
        <w:rPr>
          <w:rFonts w:ascii="Times New Roman" w:hAnsi="Times New Roman" w:cs="Times New Roman"/>
          <w:b/>
          <w:bCs/>
          <w:i/>
          <w:sz w:val="24"/>
          <w:szCs w:val="24"/>
        </w:rPr>
        <w:t>Par</w:t>
      </w:r>
      <w:r w:rsidR="005924F9" w:rsidRPr="005924F9">
        <w:rPr>
          <w:rFonts w:ascii="Times New Roman" w:hAnsi="Times New Roman" w:cs="Times New Roman"/>
          <w:b/>
          <w:bCs/>
          <w:i/>
          <w:sz w:val="24"/>
          <w:szCs w:val="24"/>
        </w:rPr>
        <w:t xml:space="preserve"> </w:t>
      </w:r>
      <w:r w:rsidR="002D0F87">
        <w:rPr>
          <w:rFonts w:ascii="Times New Roman" w:hAnsi="Times New Roman" w:cs="Times New Roman"/>
          <w:b/>
          <w:bCs/>
          <w:i/>
          <w:sz w:val="24"/>
          <w:szCs w:val="24"/>
        </w:rPr>
        <w:t>Likumprojektu “</w:t>
      </w:r>
      <w:r w:rsidR="002D0F87" w:rsidRPr="002D0F87">
        <w:rPr>
          <w:rFonts w:ascii="Times New Roman" w:hAnsi="Times New Roman" w:cs="Times New Roman"/>
          <w:b/>
          <w:bCs/>
          <w:i/>
          <w:sz w:val="24"/>
          <w:szCs w:val="24"/>
        </w:rPr>
        <w:t>Grozījumi Sauszemes transportlīdzekļu īpašnieku civiltiesiskās atbildības obligātās apdrošināšanas likumā</w:t>
      </w:r>
      <w:r w:rsidR="002D0F87">
        <w:rPr>
          <w:rFonts w:ascii="Times New Roman" w:hAnsi="Times New Roman" w:cs="Times New Roman"/>
          <w:b/>
          <w:bCs/>
          <w:i/>
          <w:sz w:val="24"/>
          <w:szCs w:val="24"/>
        </w:rPr>
        <w:t>” (VSS – 617)</w:t>
      </w:r>
    </w:p>
    <w:p w14:paraId="025DA8A1" w14:textId="5E1ADCB6" w:rsidR="005924F9" w:rsidRDefault="005924F9" w:rsidP="005325B4">
      <w:pPr>
        <w:spacing w:after="0" w:line="240" w:lineRule="auto"/>
        <w:rPr>
          <w:rFonts w:ascii="Times New Roman" w:hAnsi="Times New Roman" w:cs="Times New Roman"/>
          <w:b/>
          <w:bCs/>
          <w:i/>
          <w:sz w:val="24"/>
          <w:szCs w:val="24"/>
        </w:rPr>
      </w:pPr>
    </w:p>
    <w:p w14:paraId="4B9520F8" w14:textId="0DAC029F" w:rsidR="005924F9" w:rsidRDefault="005924F9" w:rsidP="00A77EDD">
      <w:pPr>
        <w:spacing w:after="0" w:line="240" w:lineRule="auto"/>
        <w:ind w:firstLine="709"/>
        <w:jc w:val="both"/>
        <w:rPr>
          <w:rFonts w:ascii="Times New Roman" w:hAnsi="Times New Roman" w:cs="Times New Roman"/>
          <w:iCs/>
          <w:sz w:val="24"/>
          <w:szCs w:val="24"/>
        </w:rPr>
      </w:pPr>
    </w:p>
    <w:p w14:paraId="3A83B973" w14:textId="5C453BF9" w:rsidR="005924F9" w:rsidRDefault="002D0F87" w:rsidP="002D0F87">
      <w:pPr>
        <w:spacing w:after="0" w:line="240" w:lineRule="auto"/>
        <w:jc w:val="both"/>
        <w:rPr>
          <w:rFonts w:ascii="Times New Roman" w:hAnsi="Times New Roman" w:cs="Times New Roman"/>
          <w:iCs/>
          <w:sz w:val="24"/>
          <w:szCs w:val="24"/>
        </w:rPr>
      </w:pPr>
      <w:r w:rsidRPr="002D0F87">
        <w:rPr>
          <w:rFonts w:ascii="Times New Roman" w:hAnsi="Times New Roman" w:cs="Times New Roman"/>
          <w:iCs/>
          <w:sz w:val="24"/>
          <w:szCs w:val="24"/>
        </w:rPr>
        <w:t xml:space="preserve">2020.gada </w:t>
      </w:r>
      <w:r>
        <w:rPr>
          <w:rFonts w:ascii="Times New Roman" w:hAnsi="Times New Roman" w:cs="Times New Roman"/>
          <w:iCs/>
          <w:sz w:val="24"/>
          <w:szCs w:val="24"/>
        </w:rPr>
        <w:t>30</w:t>
      </w:r>
      <w:r w:rsidRPr="002D0F87">
        <w:rPr>
          <w:rFonts w:ascii="Times New Roman" w:hAnsi="Times New Roman" w:cs="Times New Roman"/>
          <w:iCs/>
          <w:sz w:val="24"/>
          <w:szCs w:val="24"/>
        </w:rPr>
        <w:t>.</w:t>
      </w:r>
      <w:r>
        <w:rPr>
          <w:rFonts w:ascii="Times New Roman" w:hAnsi="Times New Roman" w:cs="Times New Roman"/>
          <w:iCs/>
          <w:sz w:val="24"/>
          <w:szCs w:val="24"/>
        </w:rPr>
        <w:t>jūlijā</w:t>
      </w:r>
      <w:r w:rsidRPr="002D0F87">
        <w:rPr>
          <w:rFonts w:ascii="Times New Roman" w:hAnsi="Times New Roman" w:cs="Times New Roman"/>
          <w:iCs/>
          <w:sz w:val="24"/>
          <w:szCs w:val="24"/>
        </w:rPr>
        <w:t xml:space="preserve"> Valsts sekretāru sanāksmē tika izsludināts </w:t>
      </w:r>
      <w:r>
        <w:rPr>
          <w:rFonts w:ascii="Times New Roman" w:hAnsi="Times New Roman" w:cs="Times New Roman"/>
          <w:iCs/>
          <w:sz w:val="24"/>
          <w:szCs w:val="24"/>
        </w:rPr>
        <w:t>Likumprojekts</w:t>
      </w:r>
      <w:r w:rsidRPr="002D0F87">
        <w:rPr>
          <w:rFonts w:ascii="Times New Roman" w:hAnsi="Times New Roman" w:cs="Times New Roman"/>
          <w:iCs/>
          <w:sz w:val="24"/>
          <w:szCs w:val="24"/>
        </w:rPr>
        <w:t xml:space="preserve"> “Grozījumi Sauszemes transportlīdzekļu īpašnieku civiltiesiskās atbildības obligātās apdrošināšanas likumā” (VSS-</w:t>
      </w:r>
      <w:r>
        <w:rPr>
          <w:rFonts w:ascii="Times New Roman" w:hAnsi="Times New Roman" w:cs="Times New Roman"/>
          <w:iCs/>
          <w:sz w:val="24"/>
          <w:szCs w:val="24"/>
        </w:rPr>
        <w:t>617</w:t>
      </w:r>
      <w:r w:rsidRPr="002D0F87">
        <w:rPr>
          <w:rFonts w:ascii="Times New Roman" w:hAnsi="Times New Roman" w:cs="Times New Roman"/>
          <w:iCs/>
          <w:sz w:val="24"/>
          <w:szCs w:val="24"/>
        </w:rPr>
        <w:t xml:space="preserve">) (turpmāk – </w:t>
      </w:r>
      <w:r>
        <w:rPr>
          <w:rFonts w:ascii="Times New Roman" w:hAnsi="Times New Roman" w:cs="Times New Roman"/>
          <w:iCs/>
          <w:sz w:val="24"/>
          <w:szCs w:val="24"/>
        </w:rPr>
        <w:t>Likumprojekts</w:t>
      </w:r>
      <w:r w:rsidRPr="002D0F87">
        <w:rPr>
          <w:rFonts w:ascii="Times New Roman" w:hAnsi="Times New Roman" w:cs="Times New Roman"/>
          <w:iCs/>
          <w:sz w:val="24"/>
          <w:szCs w:val="24"/>
        </w:rPr>
        <w:t xml:space="preserve">). Biedrība Latvijas </w:t>
      </w:r>
      <w:r>
        <w:rPr>
          <w:rFonts w:ascii="Times New Roman" w:hAnsi="Times New Roman" w:cs="Times New Roman"/>
          <w:iCs/>
          <w:sz w:val="24"/>
          <w:szCs w:val="24"/>
        </w:rPr>
        <w:t>Transportlīdzekļu apdrošinātāju birojs</w:t>
      </w:r>
      <w:r w:rsidRPr="002D0F87">
        <w:rPr>
          <w:rFonts w:ascii="Times New Roman" w:hAnsi="Times New Roman" w:cs="Times New Roman"/>
          <w:iCs/>
          <w:sz w:val="24"/>
          <w:szCs w:val="24"/>
        </w:rPr>
        <w:t xml:space="preserve"> (turpmāk – </w:t>
      </w:r>
      <w:r>
        <w:rPr>
          <w:rFonts w:ascii="Times New Roman" w:hAnsi="Times New Roman" w:cs="Times New Roman"/>
          <w:iCs/>
          <w:sz w:val="24"/>
          <w:szCs w:val="24"/>
        </w:rPr>
        <w:t>LTAB</w:t>
      </w:r>
      <w:r w:rsidRPr="002D0F87">
        <w:rPr>
          <w:rFonts w:ascii="Times New Roman" w:hAnsi="Times New Roman" w:cs="Times New Roman"/>
          <w:iCs/>
          <w:sz w:val="24"/>
          <w:szCs w:val="24"/>
        </w:rPr>
        <w:t>)</w:t>
      </w:r>
      <w:r w:rsidR="00F80CD9">
        <w:rPr>
          <w:rFonts w:ascii="Times New Roman" w:hAnsi="Times New Roman" w:cs="Times New Roman"/>
          <w:iCs/>
          <w:sz w:val="24"/>
          <w:szCs w:val="24"/>
        </w:rPr>
        <w:t xml:space="preserve"> iepazinies ar Likumprojektu un neatbalsta tā tālāku virzību esošajā redakcijā un sniedz par Likumprojektu sekojošu atzinumu.</w:t>
      </w:r>
      <w:r w:rsidRPr="002D0F87">
        <w:rPr>
          <w:rFonts w:ascii="Times New Roman" w:hAnsi="Times New Roman" w:cs="Times New Roman"/>
          <w:iCs/>
          <w:sz w:val="24"/>
          <w:szCs w:val="24"/>
        </w:rPr>
        <w:t xml:space="preserve"> </w:t>
      </w:r>
    </w:p>
    <w:p w14:paraId="671AA608" w14:textId="0460744D" w:rsidR="00F80CD9" w:rsidRDefault="00F80CD9" w:rsidP="002D0F87">
      <w:pPr>
        <w:spacing w:after="0" w:line="240" w:lineRule="auto"/>
        <w:jc w:val="both"/>
        <w:rPr>
          <w:rFonts w:ascii="Times New Roman" w:hAnsi="Times New Roman" w:cs="Times New Roman"/>
          <w:iCs/>
          <w:sz w:val="24"/>
          <w:szCs w:val="24"/>
        </w:rPr>
      </w:pPr>
    </w:p>
    <w:p w14:paraId="2ED4B7A1"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LTAB kopumā neiebilst pret Sauszemes transportlīdzekļu īpašnieku civiltiesiskās atbildības obligātās apdrošināšanas likuma (turpmāk – </w:t>
      </w:r>
      <w:r w:rsidRPr="00F80CD9">
        <w:rPr>
          <w:rFonts w:ascii="Times New Roman" w:eastAsia="Calibri" w:hAnsi="Times New Roman" w:cs="Times New Roman"/>
          <w:b/>
          <w:bCs/>
          <w:sz w:val="24"/>
          <w:szCs w:val="24"/>
        </w:rPr>
        <w:t>OCTA likums</w:t>
      </w:r>
      <w:r w:rsidRPr="00F80CD9">
        <w:rPr>
          <w:rFonts w:ascii="Times New Roman" w:eastAsia="Calibri" w:hAnsi="Times New Roman" w:cs="Times New Roman"/>
          <w:sz w:val="24"/>
          <w:szCs w:val="24"/>
        </w:rPr>
        <w:t xml:space="preserve">) regulējuma uzlabojumiem ar mērķi paaugstināt trešo personu interešu aizsardzību un veicināt civiltiesiskās atbildības obligātās apdrošināšanas (turpmāk – </w:t>
      </w:r>
      <w:r w:rsidRPr="00F80CD9">
        <w:rPr>
          <w:rFonts w:ascii="Times New Roman" w:eastAsia="Calibri" w:hAnsi="Times New Roman" w:cs="Times New Roman"/>
          <w:b/>
          <w:bCs/>
          <w:sz w:val="24"/>
          <w:szCs w:val="24"/>
        </w:rPr>
        <w:t>OCTA</w:t>
      </w:r>
      <w:r w:rsidRPr="00F80CD9">
        <w:rPr>
          <w:rFonts w:ascii="Times New Roman" w:eastAsia="Calibri" w:hAnsi="Times New Roman" w:cs="Times New Roman"/>
          <w:sz w:val="24"/>
          <w:szCs w:val="24"/>
        </w:rPr>
        <w:t>) sistēmas stabilitāti un attīstību. Vienlaikus, izvērtējot esošo Likumprojekta redakciju un tās pamatojumu, LTAB konstatē vairākas nepilnības un iespējamas pretrunas ar citiem likumiem un Latvijas starptautiskajām saistībām. Tādēļ LTAB par Finanšu ministrijai izsaka vairākus iebildumus par esošo Likumprojekta redakciju, kā arī priekšlikumus tās uzlabošanai.</w:t>
      </w:r>
    </w:p>
    <w:p w14:paraId="31957A59"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p>
    <w:p w14:paraId="4E838086" w14:textId="77777777" w:rsidR="00F80CD9" w:rsidRPr="00F80CD9" w:rsidRDefault="00F80CD9" w:rsidP="00F80CD9">
      <w:pPr>
        <w:numPr>
          <w:ilvl w:val="0"/>
          <w:numId w:val="4"/>
        </w:numPr>
        <w:spacing w:before="200" w:after="0" w:line="240" w:lineRule="auto"/>
        <w:contextualSpacing/>
        <w:jc w:val="center"/>
        <w:rPr>
          <w:rFonts w:ascii="Times New Roman" w:eastAsia="Calibri" w:hAnsi="Times New Roman" w:cs="Times New Roman"/>
          <w:b/>
          <w:bCs/>
          <w:sz w:val="28"/>
          <w:szCs w:val="28"/>
        </w:rPr>
      </w:pPr>
      <w:r w:rsidRPr="00F80CD9">
        <w:rPr>
          <w:rFonts w:ascii="Times New Roman" w:eastAsia="Calibri" w:hAnsi="Times New Roman" w:cs="Times New Roman"/>
          <w:b/>
          <w:bCs/>
          <w:sz w:val="28"/>
          <w:szCs w:val="28"/>
        </w:rPr>
        <w:t>Deleģējums veikt valsts pārvaldes uzdevumus</w:t>
      </w:r>
    </w:p>
    <w:p w14:paraId="25E66681"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Likumprojekta 2. pants paredz izteikt OCTA likuma 43. pantu jaunā redakcijā. Atbilstoši Likumprojekta 2. pantam OCTA likuma 43. panta pirmā daļa tiktu izteikta šādā redakcijā:</w:t>
      </w:r>
    </w:p>
    <w:p w14:paraId="12F723D4" w14:textId="77777777" w:rsidR="00F80CD9" w:rsidRPr="00F80CD9" w:rsidRDefault="00F80CD9" w:rsidP="00F80CD9">
      <w:pPr>
        <w:spacing w:before="200" w:after="0" w:line="240" w:lineRule="auto"/>
        <w:ind w:left="862" w:right="862"/>
        <w:jc w:val="both"/>
        <w:rPr>
          <w:rFonts w:ascii="Times New Roman" w:eastAsia="Calibri" w:hAnsi="Times New Roman" w:cs="Times New Roman"/>
          <w:i/>
          <w:iCs/>
          <w:sz w:val="24"/>
          <w:szCs w:val="24"/>
        </w:rPr>
      </w:pPr>
      <w:r w:rsidRPr="00F80CD9">
        <w:rPr>
          <w:rFonts w:ascii="Times New Roman" w:eastAsia="Calibri" w:hAnsi="Times New Roman" w:cs="Times New Roman"/>
          <w:i/>
          <w:iCs/>
          <w:sz w:val="24"/>
          <w:szCs w:val="24"/>
        </w:rPr>
        <w:t xml:space="preserve">“(1) Transportlīdzekļu apdrošinātāju birojs veic </w:t>
      </w:r>
      <w:r w:rsidRPr="00F80CD9">
        <w:rPr>
          <w:rFonts w:ascii="Times New Roman" w:eastAsia="Calibri" w:hAnsi="Times New Roman" w:cs="Times New Roman"/>
          <w:i/>
          <w:iCs/>
          <w:sz w:val="24"/>
          <w:szCs w:val="24"/>
          <w:u w:val="single"/>
        </w:rPr>
        <w:t>šā likuma 44.panta pirmajā daļā deleģētos valsts pārvaldes uzdevumus</w:t>
      </w:r>
      <w:r w:rsidRPr="00F80CD9">
        <w:rPr>
          <w:rFonts w:ascii="Times New Roman" w:eastAsia="Calibri" w:hAnsi="Times New Roman" w:cs="Times New Roman"/>
          <w:i/>
          <w:iCs/>
          <w:sz w:val="24"/>
          <w:szCs w:val="24"/>
        </w:rPr>
        <w:t xml:space="preserve"> un ar tiem saistītās darbības, lai nodrošinātu sauszemes transportlīdzekļu īpašnieku civiltiesiskās atbildības obligātās apdrošināšanas sistēmas darbību.” </w:t>
      </w:r>
    </w:p>
    <w:p w14:paraId="2E264200"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No minētās normas izriet, ka līdzšinējie LTAB uzdevumi, kas definēti OCTA likuma 44. panta otrajā daļā, tiks uzskatīti par ar normatīvo aktu deleģētiem valsts pārvaldes uzdevumiem. Likumprojekts paredz ietvert atsauci uz valsts pārvaldes uzdevumu deleģējumu arī citās OCTA likuma normu jaunajās redakcijās. </w:t>
      </w:r>
    </w:p>
    <w:p w14:paraId="0CBEC681"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No Likumprojekta 3. panta izriet, ka LTAB tiks deleģēti šādi pārvaldes uzdevumi:</w:t>
      </w:r>
    </w:p>
    <w:p w14:paraId="0DD207CD" w14:textId="77777777" w:rsidR="00F80CD9" w:rsidRPr="00F80CD9" w:rsidRDefault="00F80CD9" w:rsidP="00F80CD9">
      <w:pPr>
        <w:spacing w:before="200" w:after="0" w:line="240" w:lineRule="auto"/>
        <w:ind w:left="862" w:right="862"/>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1) aprēķināt un izmaksāt no Garantijas fonda zaudējumu atlīdzību un citus maksājumus šā likuma 51. pantā noteiktajos gadījumos;</w:t>
      </w:r>
    </w:p>
    <w:p w14:paraId="4D81FB25" w14:textId="77777777" w:rsidR="00F80CD9" w:rsidRPr="00F80CD9" w:rsidRDefault="00F80CD9" w:rsidP="00F80CD9">
      <w:pPr>
        <w:spacing w:before="200" w:after="0" w:line="240" w:lineRule="auto"/>
        <w:ind w:left="862" w:right="862"/>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2) celt tiesā regresa prasības šā likuma 41. pantā noteiktajos gadījumos;</w:t>
      </w:r>
    </w:p>
    <w:p w14:paraId="0E8C92B6" w14:textId="77777777" w:rsidR="00F80CD9" w:rsidRPr="00F80CD9" w:rsidRDefault="00F80CD9" w:rsidP="00F80CD9">
      <w:pPr>
        <w:spacing w:before="200" w:after="0" w:line="240" w:lineRule="auto"/>
        <w:ind w:left="862" w:right="862"/>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lastRenderedPageBreak/>
        <w:t>3) sniegt atzinumu trešajai personai par apdrošinātāja lēmumu vai rīcību sauszemes transportlīdzekļu īpašnieku civiltiesiskās atbildības obligātās apdrošināšanas jomā;</w:t>
      </w:r>
    </w:p>
    <w:p w14:paraId="41E5028B" w14:textId="77777777" w:rsidR="00F80CD9" w:rsidRPr="00F80CD9" w:rsidRDefault="00F80CD9" w:rsidP="00F80CD9">
      <w:pPr>
        <w:spacing w:before="200" w:after="0" w:line="240" w:lineRule="auto"/>
        <w:ind w:left="862" w:right="862"/>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4) administrēt Garantijas fondu saskaņā ar šā likuma 51.</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b/>
          <w:sz w:val="24"/>
          <w:szCs w:val="24"/>
        </w:rPr>
        <w:t xml:space="preserve"> </w:t>
      </w:r>
      <w:r w:rsidRPr="00F80CD9">
        <w:rPr>
          <w:rFonts w:ascii="Times New Roman" w:eastAsia="Calibri" w:hAnsi="Times New Roman" w:cs="Times New Roman"/>
          <w:sz w:val="24"/>
          <w:szCs w:val="24"/>
        </w:rPr>
        <w:t>pantā noteikto kārtību;</w:t>
      </w:r>
    </w:p>
    <w:p w14:paraId="099F71B4" w14:textId="77777777" w:rsidR="00F80CD9" w:rsidRPr="00F80CD9" w:rsidRDefault="00F80CD9" w:rsidP="00F80CD9">
      <w:pPr>
        <w:spacing w:before="200" w:after="0" w:line="240" w:lineRule="auto"/>
        <w:ind w:left="862" w:right="862"/>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5) uzturēt sauszemes transportlīdzekļu īpašnieku civiltiesiskās atbildības obligātās apdrošināšanas darbībai nepieciešamo informācijas sistēmu un nodrošināt tās iekļaušanu integrētajā valsts informācijas sistēmā Ministru kabineta noteikumos noteiktajā kārtībā;</w:t>
      </w:r>
    </w:p>
    <w:p w14:paraId="44D9CCC0" w14:textId="77777777" w:rsidR="00F80CD9" w:rsidRPr="00F80CD9" w:rsidRDefault="00F80CD9" w:rsidP="00F80CD9">
      <w:pPr>
        <w:spacing w:before="200" w:after="0" w:line="240" w:lineRule="auto"/>
        <w:ind w:left="862" w:right="862"/>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6) sniegt informāciju šā likuma 50. pantā noteiktajos gadījumos;</w:t>
      </w:r>
    </w:p>
    <w:p w14:paraId="7290AABA" w14:textId="77777777" w:rsidR="00F80CD9" w:rsidRPr="00F80CD9" w:rsidRDefault="00F80CD9" w:rsidP="00F80CD9">
      <w:pPr>
        <w:spacing w:before="200" w:after="0" w:line="240" w:lineRule="auto"/>
        <w:ind w:left="862" w:right="862"/>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7) pildīt Zaļās kartes sistēmas Biroju padomes locekļa pienākumus un Latvijas Republikas Zaļās kartes sistēmas nacionālā biroja pienākumus; </w:t>
      </w:r>
    </w:p>
    <w:p w14:paraId="32F29EA0" w14:textId="77777777" w:rsidR="00F80CD9" w:rsidRPr="00F80CD9" w:rsidRDefault="00F80CD9" w:rsidP="00F80CD9">
      <w:pPr>
        <w:spacing w:before="200" w:after="0" w:line="240" w:lineRule="auto"/>
        <w:ind w:left="862" w:right="862"/>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8) veikt tehnisko ekspertu sertificēšanu un apmācību (kvalifikācijas celšanu) Ministru kabineta noteikumos paredzētajā kārtībā.</w:t>
      </w:r>
    </w:p>
    <w:p w14:paraId="20BC401C"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u w:val="single"/>
        </w:rPr>
      </w:pPr>
      <w:r w:rsidRPr="00F80CD9">
        <w:rPr>
          <w:rFonts w:ascii="Times New Roman" w:eastAsia="Calibri" w:hAnsi="Times New Roman" w:cs="Times New Roman"/>
          <w:b/>
          <w:bCs/>
          <w:sz w:val="24"/>
          <w:szCs w:val="24"/>
        </w:rPr>
        <w:softHyphen/>
      </w:r>
      <w:r w:rsidRPr="00F80CD9">
        <w:rPr>
          <w:rFonts w:ascii="Times New Roman" w:eastAsia="Calibri" w:hAnsi="Times New Roman" w:cs="Times New Roman"/>
          <w:b/>
          <w:bCs/>
          <w:sz w:val="24"/>
          <w:szCs w:val="24"/>
          <w:u w:val="single"/>
        </w:rPr>
        <w:t>IEBILDUMI</w:t>
      </w:r>
    </w:p>
    <w:p w14:paraId="70F43FCC"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[1]</w:t>
      </w:r>
      <w:r w:rsidRPr="00F80CD9">
        <w:rPr>
          <w:rFonts w:ascii="Times New Roman" w:eastAsia="Calibri" w:hAnsi="Times New Roman" w:cs="Times New Roman"/>
          <w:sz w:val="24"/>
          <w:szCs w:val="24"/>
        </w:rPr>
        <w:t xml:space="preserve"> Atbilstoši Valsts pārvaldes iekārtas likuma (turpmāk – </w:t>
      </w:r>
      <w:r w:rsidRPr="00F80CD9">
        <w:rPr>
          <w:rFonts w:ascii="Times New Roman" w:eastAsia="Calibri" w:hAnsi="Times New Roman" w:cs="Times New Roman"/>
          <w:b/>
          <w:bCs/>
          <w:sz w:val="24"/>
          <w:szCs w:val="24"/>
        </w:rPr>
        <w:t>VPIL</w:t>
      </w:r>
      <w:r w:rsidRPr="00F80CD9">
        <w:rPr>
          <w:rFonts w:ascii="Times New Roman" w:eastAsia="Calibri" w:hAnsi="Times New Roman" w:cs="Times New Roman"/>
          <w:sz w:val="24"/>
          <w:szCs w:val="24"/>
        </w:rPr>
        <w:t>) 9. pantam valsts pārvaldes uzdevumi izriet no valsts pārvaldes funkcijām. Proti, valsts pārvaldes uzdevumi tiek veikti tiesību normās noteiktu izpildvaras administratīvo funkciju īstenošanai. Savukārt, ja tiesiskajam regulējumam ir privāts (civiltiesisks) raksturs, tad nevar uzskatīt, ka tas ir vērsts uz izpildvaras administratīvo funkciju izpildi (</w:t>
      </w:r>
      <w:r w:rsidRPr="00F80CD9">
        <w:rPr>
          <w:rFonts w:ascii="Times New Roman" w:eastAsia="Calibri" w:hAnsi="Times New Roman" w:cs="Times New Roman"/>
          <w:i/>
          <w:iCs/>
          <w:sz w:val="24"/>
          <w:szCs w:val="24"/>
        </w:rPr>
        <w:t>sal. sk. Senāta 2008. gada 8. septembra sprieduma lietā SKA-375/2008 11. punktu</w:t>
      </w:r>
      <w:r w:rsidRPr="00F80CD9">
        <w:rPr>
          <w:rFonts w:ascii="Times New Roman" w:eastAsia="Calibri" w:hAnsi="Times New Roman" w:cs="Times New Roman"/>
          <w:sz w:val="24"/>
          <w:szCs w:val="24"/>
        </w:rPr>
        <w:t>).</w:t>
      </w:r>
    </w:p>
    <w:p w14:paraId="654055D7"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Apdrošināšanas tiesības ir viena no civiltiesību (privāttiesību) apakšnozarēm un Latvijas tiesas ir konsekventi klasificējušas apdrošināšanas līgumu kā saistību tiesību līgumu (</w:t>
      </w:r>
      <w:r w:rsidRPr="00F80CD9">
        <w:rPr>
          <w:rFonts w:ascii="Times New Roman" w:eastAsia="Calibri" w:hAnsi="Times New Roman" w:cs="Times New Roman"/>
          <w:i/>
          <w:iCs/>
          <w:sz w:val="24"/>
          <w:szCs w:val="24"/>
        </w:rPr>
        <w:t>Augstākās tiesas Civillietu departamenta prakses apkopojums sauszemes transportlīdzekļu vadītāju civiltiesiskās atbildības obligātās apdrošināšanas (OCTA) lietās, 7.lpp. Pieejams:</w:t>
      </w:r>
      <w:r w:rsidRPr="00F80CD9">
        <w:rPr>
          <w:rFonts w:ascii="Times New Roman" w:eastAsia="Calibri" w:hAnsi="Times New Roman" w:cs="Times New Roman"/>
          <w:sz w:val="24"/>
          <w:szCs w:val="24"/>
        </w:rPr>
        <w:t xml:space="preserve"> </w:t>
      </w:r>
      <w:hyperlink r:id="rId13" w:history="1">
        <w:r w:rsidRPr="00F80CD9">
          <w:rPr>
            <w:rFonts w:ascii="Times New Roman" w:eastAsia="Calibri" w:hAnsi="Times New Roman" w:cs="Times New Roman"/>
            <w:i/>
            <w:iCs/>
            <w:color w:val="0563C1"/>
            <w:sz w:val="24"/>
            <w:szCs w:val="24"/>
            <w:u w:val="single"/>
          </w:rPr>
          <w:t>http://www.at.gov.lv/files/uploads/files/6_Judikatura/Tiesu_prakses_apkopojumi/2015/OCTA%20tiesu%20prakses%20apkopojums_21-07-2016.docx</w:t>
        </w:r>
      </w:hyperlink>
      <w:r w:rsidRPr="00F80CD9">
        <w:rPr>
          <w:rFonts w:ascii="Times New Roman" w:eastAsia="Calibri" w:hAnsi="Times New Roman" w:cs="Times New Roman"/>
          <w:i/>
          <w:iCs/>
          <w:sz w:val="24"/>
          <w:szCs w:val="24"/>
        </w:rPr>
        <w:t xml:space="preserve"> </w:t>
      </w:r>
      <w:r w:rsidRPr="00F80CD9">
        <w:rPr>
          <w:rFonts w:ascii="Times New Roman" w:eastAsia="Calibri" w:hAnsi="Times New Roman" w:cs="Times New Roman"/>
          <w:sz w:val="24"/>
          <w:szCs w:val="24"/>
        </w:rPr>
        <w:t xml:space="preserve">). Obligātās apdrošināšanas objekts ir transportlīdzekļa īpašnieka vai tiesīgā lietotāja </w:t>
      </w:r>
      <w:r w:rsidRPr="00F80CD9">
        <w:rPr>
          <w:rFonts w:ascii="Times New Roman" w:eastAsia="Calibri" w:hAnsi="Times New Roman" w:cs="Times New Roman"/>
          <w:sz w:val="24"/>
          <w:szCs w:val="24"/>
          <w:u w:val="single"/>
        </w:rPr>
        <w:t>civiltiesiskā</w:t>
      </w:r>
      <w:r w:rsidRPr="00F80CD9">
        <w:rPr>
          <w:rFonts w:ascii="Times New Roman" w:eastAsia="Calibri" w:hAnsi="Times New Roman" w:cs="Times New Roman"/>
          <w:sz w:val="24"/>
          <w:szCs w:val="24"/>
        </w:rPr>
        <w:t xml:space="preserve"> atbildība (OCTA likuma 3. panta pirmā daļa). Savukārt OCTA likuma 2. pants paredz, ka likuma mērķis ir aizsargāt ceļu satiksmes negadījumos cietušo trešo personu intereses (privāttiesiskas intereses) un </w:t>
      </w:r>
      <w:r w:rsidRPr="00F80CD9">
        <w:rPr>
          <w:rFonts w:ascii="Times New Roman" w:eastAsia="Calibri" w:hAnsi="Times New Roman" w:cs="Times New Roman"/>
          <w:sz w:val="24"/>
          <w:szCs w:val="24"/>
          <w:u w:val="single"/>
        </w:rPr>
        <w:t>reglamentēt tiesiskās attiecības starp transportlīdzekļu īpašniekiem, tiesīgajiem lietotājiem un apdrošinātājiem</w:t>
      </w:r>
      <w:r w:rsidRPr="00F80CD9">
        <w:rPr>
          <w:rFonts w:ascii="Times New Roman" w:eastAsia="Calibri" w:hAnsi="Times New Roman" w:cs="Times New Roman"/>
          <w:sz w:val="24"/>
          <w:szCs w:val="24"/>
        </w:rPr>
        <w:t xml:space="preserve">. </w:t>
      </w:r>
    </w:p>
    <w:p w14:paraId="702A0620"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No minētā izriet, ka OCTA likuma regulējums nav vērsts uz izpildvaras administratīvo funkciju izpildi. OCTA likums regulē privāttiesiskas attiecības starp privāttiesību subjektiem. OCTA likums regulē gan līgumiskās tiesības, gan deliktu tiesības, taču abiem tiesību institūtiem ir civiltiesisks raksturs.</w:t>
      </w:r>
    </w:p>
    <w:p w14:paraId="1739DE7B"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OCTA likuma 44. panta pirmā daļa paredz, ka LTAB mērķis ir nodrošināt ceļu satiksmes negadījumā cietušo trešo personu interešu aizsardzību un veicināt sauszemes transportlīdzekļu īpašnieku civiltiesiskās atbildības obligātās apdrošināšanas stabilitāti un attīstību. No minētā izriet, ka LTAB mērķis ir saistīts ar privāttiesību subjektu interešu aizsardzību un privāttiesisku attiecību stabilitāti un attīstību. Proti, tā kā trešo personu tiesības saņemt kompensāciju pēc būtības ir civiltiesiskas tiesības un OCTA ir privāttiesību (saistību tiesību) institūts, LTAB darbības mērķi nav saistīti ar izpildvaras administratīvajām funkcijām. </w:t>
      </w:r>
    </w:p>
    <w:p w14:paraId="2218DB0B"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lastRenderedPageBreak/>
        <w:t xml:space="preserve">Starp LTAB un transportlīdzekļu īpašniekiem vai tiesīgajiem lietotājiem nepastāv līgumiskas attiecības. Arī starp LTAB un trešajām personām nepastāv līgumiskas attiecības. Tomēr kā norādīts tiesību doktrīnā, gadījumos, kad, piemēram, transportlīdzekļa īpašnieks nav noslēdzis apdrošināšanas līgumu, </w:t>
      </w:r>
      <w:r w:rsidRPr="00F80CD9">
        <w:rPr>
          <w:rFonts w:ascii="Times New Roman" w:eastAsia="Calibri" w:hAnsi="Times New Roman" w:cs="Times New Roman"/>
          <w:sz w:val="24"/>
          <w:szCs w:val="24"/>
          <w:u w:val="single"/>
        </w:rPr>
        <w:t xml:space="preserve">LTAB deliktu attiecībās veic apdrošinātāja funkcijas pret kreditoriem </w:t>
      </w:r>
      <w:r w:rsidRPr="00F80CD9">
        <w:rPr>
          <w:rFonts w:ascii="Times New Roman" w:eastAsia="Calibri" w:hAnsi="Times New Roman" w:cs="Times New Roman"/>
          <w:sz w:val="24"/>
          <w:szCs w:val="24"/>
        </w:rPr>
        <w:t>(</w:t>
      </w:r>
      <w:r w:rsidRPr="00F80CD9">
        <w:rPr>
          <w:rFonts w:ascii="Times New Roman" w:eastAsia="Calibri" w:hAnsi="Times New Roman" w:cs="Times New Roman"/>
          <w:i/>
          <w:iCs/>
          <w:sz w:val="24"/>
          <w:szCs w:val="24"/>
        </w:rPr>
        <w:t>Torgāns K. SAISTĪBU TIESĪBAS. Mācību grāmata. – Rīga: Tiesu namu aģentūra, 2014, 442.lpp.</w:t>
      </w:r>
      <w:r w:rsidRPr="00F80CD9">
        <w:rPr>
          <w:rFonts w:ascii="Times New Roman" w:eastAsia="Calibri" w:hAnsi="Times New Roman" w:cs="Times New Roman"/>
          <w:sz w:val="24"/>
          <w:szCs w:val="24"/>
        </w:rPr>
        <w:t xml:space="preserve">). Apdrošinātāju funkciju veikšana pret kreditoriem nav izpildvaras administratīvā funkcija. Tādēļ, aprēķinot un izmaksājot zaudējumu atlīdzības no Garantijas fonda, kā arī ceļot tiesā regresa prasības, LTAB darbojas privāto tiesību jomā, jo šīs darbības pēc būtības ir analogas apdrošinātāja darbībām, kas izriet no civiltiesiskām (līgumiskām) attiecībām. </w:t>
      </w:r>
    </w:p>
    <w:p w14:paraId="2E97FDFA"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Vērtējot zaudējumu atlīdzības izmaksāšanu no Garantijas fonda, kā arī regresa prasību celšanu arī atbilstoši tiesību doktrīnā un tiesu praksē attīstītajām publisko un privāto tiesību jomu nošķiršanas metodēm, nākas secināt, ka šie LTAB uzdevumi izriet no privāttiesiskām attiecībām. </w:t>
      </w:r>
    </w:p>
    <w:p w14:paraId="17F73684"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Pastāv vairākas publisko un privāto tiesību nošķiršanas teorijas: interešu teorija, subordinācijas teorija, subjektu teorija un modificētā subjektu teorija. Interešu teorija tiesību normas nošķir atkarībā no tā, vai tiesību norma ir paredzēta indivīda interešu aizsardzībai vai sabiedrības interešu aizsardzībai. Subordinācijas teorijas ietvaros vērtējams, vai dalībnieki atrodas pakļautības attiecībās vai ir līdztiesīgi. Subjektu teorija vērtē, vai tiesību subjektam ir piešķirtas izņēmuma tiesības. Savukārt modificētā subjektu teorija ņem vērā arī materiālo pazīmi – </w:t>
      </w:r>
      <w:r w:rsidRPr="00F80CD9">
        <w:rPr>
          <w:rFonts w:ascii="Times New Roman" w:eastAsia="Calibri" w:hAnsi="Times New Roman" w:cs="Times New Roman"/>
          <w:sz w:val="24"/>
          <w:szCs w:val="24"/>
          <w:u w:val="single"/>
        </w:rPr>
        <w:t>vai pēc būtības sasniedzamais rezultāts nerada civiltiesiskas sekas</w:t>
      </w:r>
      <w:r w:rsidRPr="00F80CD9">
        <w:rPr>
          <w:rFonts w:ascii="Times New Roman" w:eastAsia="Calibri" w:hAnsi="Times New Roman" w:cs="Times New Roman"/>
          <w:sz w:val="24"/>
          <w:szCs w:val="24"/>
        </w:rPr>
        <w:t xml:space="preserve"> (</w:t>
      </w:r>
      <w:r w:rsidRPr="00F80CD9">
        <w:rPr>
          <w:rFonts w:ascii="Times New Roman" w:eastAsia="Calibri" w:hAnsi="Times New Roman" w:cs="Times New Roman"/>
          <w:i/>
          <w:iCs/>
          <w:sz w:val="24"/>
          <w:szCs w:val="24"/>
        </w:rPr>
        <w:t>Danovskis E. Publisko un privāto tiesību dalījuma nozīme un piemērošanas problēmas Latvijā. Rīga: Latvijas Vēstnesis, 2015, 87.-88.lpp.</w:t>
      </w:r>
      <w:r w:rsidRPr="00F80CD9">
        <w:rPr>
          <w:rFonts w:ascii="Times New Roman" w:eastAsia="Calibri" w:hAnsi="Times New Roman" w:cs="Times New Roman"/>
          <w:sz w:val="24"/>
          <w:szCs w:val="24"/>
        </w:rPr>
        <w:t xml:space="preserve">). </w:t>
      </w:r>
    </w:p>
    <w:p w14:paraId="01F31F81"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Zaudējumu atlīdzināšana trešajām personām ir paredzētā privāttiesību subjektu (indivīdu) interešu aizsardzībai. LTAB atlīdzina zaudējumus un ceļ regresa prasības pēc būtības pēc tādiem pašiem noteikumiem kā apdrošinātāji līgumisko attiecību gadījumā. Turklāt arī sasniedzamais rezultāts rada civiltiesiskas sekas, proti, privātpersonām tiek atlīdzināti ar ārpuslīgumisku tiesību aizskārumu (deliktu) nodarīti zaudējumi. No minētā izriet, ka zaudējumu atlīdzības aprēķināšanai un izmaksāšanai no Garantijas fonda, kā arī regresa prasību celšanai pēc būtības ir privāttiesisks raksturs un šie uzdevumi neietilpst izpildvaras administratīvajās funkcijās.</w:t>
      </w:r>
    </w:p>
    <w:p w14:paraId="670C3828"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rPr>
      </w:pPr>
      <w:r w:rsidRPr="00F80CD9">
        <w:rPr>
          <w:rFonts w:ascii="Times New Roman" w:eastAsia="Calibri" w:hAnsi="Times New Roman" w:cs="Times New Roman"/>
          <w:b/>
          <w:bCs/>
          <w:sz w:val="24"/>
          <w:szCs w:val="24"/>
        </w:rPr>
        <w:t>Ievērojot iepriekš minēto, zaudējumu atlīdzību aprēķināšana un izmaksāšana un citu maksājumu izmaksāšana no Garantijas fonda, kā arī regresa prasību celšana nav pārvaldes uzdevumu</w:t>
      </w:r>
      <w:r w:rsidRPr="00F80CD9">
        <w:rPr>
          <w:rFonts w:ascii="Times New Roman" w:eastAsia="Calibri" w:hAnsi="Times New Roman" w:cs="Times New Roman"/>
          <w:sz w:val="24"/>
          <w:szCs w:val="24"/>
        </w:rPr>
        <w:t xml:space="preserve">. </w:t>
      </w:r>
      <w:r w:rsidRPr="00F80CD9">
        <w:rPr>
          <w:rFonts w:ascii="Times New Roman" w:eastAsia="Calibri" w:hAnsi="Times New Roman" w:cs="Times New Roman"/>
          <w:b/>
          <w:bCs/>
          <w:sz w:val="24"/>
          <w:szCs w:val="24"/>
        </w:rPr>
        <w:t>Tas vien, ka šīs tiesību normas aizsargā trešo personu tiesības, konkrētās tiesiskās attiecības vien nepadara par deleģētu pārvaldes uzdevumu.</w:t>
      </w:r>
    </w:p>
    <w:p w14:paraId="5AD33B63"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[2] </w:t>
      </w:r>
      <w:r w:rsidRPr="00F80CD9">
        <w:rPr>
          <w:rFonts w:ascii="Times New Roman" w:eastAsia="Calibri" w:hAnsi="Times New Roman" w:cs="Times New Roman"/>
          <w:sz w:val="24"/>
          <w:szCs w:val="24"/>
        </w:rPr>
        <w:t xml:space="preserve">Apvienoto Nāciju Organizācijas Eiropas Ekonomikas komisijas Iekšzemes transporta komitejas Autotransporta apakškomitejas 1949. gada 25. janvārī pieņemto 5. rekomendāciju (turpmāk – </w:t>
      </w:r>
      <w:r w:rsidRPr="00F80CD9">
        <w:rPr>
          <w:rFonts w:ascii="Times New Roman" w:eastAsia="Calibri" w:hAnsi="Times New Roman" w:cs="Times New Roman"/>
          <w:b/>
          <w:bCs/>
          <w:sz w:val="24"/>
          <w:szCs w:val="24"/>
        </w:rPr>
        <w:t>Rekomendācijas</w:t>
      </w:r>
      <w:r w:rsidRPr="00F80CD9">
        <w:rPr>
          <w:rFonts w:ascii="Times New Roman" w:eastAsia="Calibri" w:hAnsi="Times New Roman" w:cs="Times New Roman"/>
          <w:sz w:val="24"/>
          <w:szCs w:val="24"/>
        </w:rPr>
        <w:t xml:space="preserve">) 1. punkta (a) un (b) apakšpunkts paredz, ka zaļo karšu ieviešanai </w:t>
      </w:r>
      <w:r w:rsidRPr="00F80CD9">
        <w:rPr>
          <w:rFonts w:ascii="Times New Roman" w:eastAsia="Calibri" w:hAnsi="Times New Roman" w:cs="Times New Roman"/>
          <w:sz w:val="24"/>
          <w:szCs w:val="24"/>
          <w:u w:val="single"/>
        </w:rPr>
        <w:t>apdrošinātāji katrā valstī izveido centrālo organizāciju (biroju)</w:t>
      </w:r>
      <w:r w:rsidRPr="00F80CD9">
        <w:rPr>
          <w:rFonts w:ascii="Times New Roman" w:eastAsia="Calibri" w:hAnsi="Times New Roman" w:cs="Times New Roman"/>
          <w:sz w:val="24"/>
          <w:szCs w:val="24"/>
        </w:rPr>
        <w:t>, kas saviem biedriem (apdrošinātājiem) izsniedz apdrošināšanas (zaļās) kartes, kuras ir derīgas vienā vai vairākās valstīs.</w:t>
      </w:r>
    </w:p>
    <w:p w14:paraId="749A222C"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ES Direktīvas 2009/103/EK </w:t>
      </w:r>
      <w:r w:rsidRPr="00F80CD9">
        <w:rPr>
          <w:rFonts w:ascii="Times New Roman" w:eastAsia="Calibri" w:hAnsi="Times New Roman" w:cs="Times New Roman"/>
          <w:i/>
          <w:iCs/>
          <w:sz w:val="24"/>
          <w:szCs w:val="24"/>
        </w:rPr>
        <w:t xml:space="preserve">par civiltiesiskās atbildības apdrošināšanu saistībā ar mehānisko transportlīdzekļu izmantošanu un kontroli saistībā ar pienākumu apdrošināt šādu atbildību </w:t>
      </w:r>
      <w:r w:rsidRPr="00F80CD9">
        <w:rPr>
          <w:rFonts w:ascii="Times New Roman" w:eastAsia="Calibri" w:hAnsi="Times New Roman" w:cs="Times New Roman"/>
          <w:sz w:val="24"/>
          <w:szCs w:val="24"/>
        </w:rPr>
        <w:t xml:space="preserve">(turpmāk – </w:t>
      </w:r>
      <w:r w:rsidRPr="00F80CD9">
        <w:rPr>
          <w:rFonts w:ascii="Times New Roman" w:eastAsia="Calibri" w:hAnsi="Times New Roman" w:cs="Times New Roman"/>
          <w:b/>
          <w:bCs/>
          <w:sz w:val="24"/>
          <w:szCs w:val="24"/>
        </w:rPr>
        <w:t>Direktīva 2009/103/EK</w:t>
      </w:r>
      <w:r w:rsidRPr="00F80CD9">
        <w:rPr>
          <w:rFonts w:ascii="Times New Roman" w:eastAsia="Calibri" w:hAnsi="Times New Roman" w:cs="Times New Roman"/>
          <w:sz w:val="24"/>
          <w:szCs w:val="24"/>
        </w:rPr>
        <w:t xml:space="preserve">) 1. panta 3. punkts noteic, ka valsts apdrošinātāju apvienība ir </w:t>
      </w:r>
      <w:r w:rsidRPr="00F80CD9">
        <w:rPr>
          <w:rFonts w:ascii="Times New Roman" w:eastAsia="Calibri" w:hAnsi="Times New Roman" w:cs="Times New Roman"/>
          <w:sz w:val="24"/>
          <w:szCs w:val="24"/>
          <w:u w:val="single"/>
        </w:rPr>
        <w:t>profesionāla organizācija</w:t>
      </w:r>
      <w:r w:rsidRPr="00F80CD9">
        <w:rPr>
          <w:rFonts w:ascii="Times New Roman" w:eastAsia="Calibri" w:hAnsi="Times New Roman" w:cs="Times New Roman"/>
          <w:sz w:val="24"/>
          <w:szCs w:val="24"/>
        </w:rPr>
        <w:t xml:space="preserve">, kas izveidota saskaņā Rekomendācijām un apvieno apdrošināšanas sabiedrības, kurām valstī ir atļauts veikt transportlīdzekļu īpašnieku civiltiesiskās atbildības apdrošināšanu. Direktīvas 2009/103/EK 1. panta 5. punkts definē, ka zaļā karte ir starptautiska apdrošināšanas apliecība, </w:t>
      </w:r>
      <w:r w:rsidRPr="00F80CD9">
        <w:rPr>
          <w:rFonts w:ascii="Times New Roman" w:eastAsia="Calibri" w:hAnsi="Times New Roman" w:cs="Times New Roman"/>
          <w:sz w:val="24"/>
          <w:szCs w:val="24"/>
          <w:u w:val="single"/>
        </w:rPr>
        <w:t>kas izdota valsts apdrošināšanas apvienības vārdā</w:t>
      </w:r>
      <w:r w:rsidRPr="00F80CD9">
        <w:rPr>
          <w:rFonts w:ascii="Times New Roman" w:eastAsia="Calibri" w:hAnsi="Times New Roman" w:cs="Times New Roman"/>
          <w:sz w:val="24"/>
          <w:szCs w:val="24"/>
        </w:rPr>
        <w:t xml:space="preserve"> saskaņā ar Rekomendācijām.</w:t>
      </w:r>
    </w:p>
    <w:p w14:paraId="581DF0B0"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lastRenderedPageBreak/>
        <w:t xml:space="preserve">No minētā izriet, ka atbilstoši Rekomendācijai un Direktīvai 2009/103/EK zaļās kartes sistēmas nacionālā biroja pienākumus </w:t>
      </w:r>
      <w:r w:rsidRPr="00F80CD9">
        <w:rPr>
          <w:rFonts w:ascii="Times New Roman" w:eastAsia="Calibri" w:hAnsi="Times New Roman" w:cs="Times New Roman"/>
          <w:sz w:val="24"/>
          <w:szCs w:val="24"/>
          <w:u w:val="single"/>
        </w:rPr>
        <w:t>var veikt tikai apdrošinātāju izveidota profesionālā organizācija</w:t>
      </w:r>
      <w:r w:rsidRPr="00F80CD9">
        <w:rPr>
          <w:rFonts w:ascii="Times New Roman" w:eastAsia="Calibri" w:hAnsi="Times New Roman" w:cs="Times New Roman"/>
          <w:sz w:val="24"/>
          <w:szCs w:val="24"/>
        </w:rPr>
        <w:t>. Savukārt, ja šo darbību uzskata par pārvaldes uzdevumu, būtu jāatzīst, ka tas primāri “pierēķināms” valstij un apdrošināšanas apvienība to veic tikai izņēmuma kārtā, jo pašai Finanšu ministrijai to veikt nav lietderīgi. Zaļās kartes sistēmas nacionālajiem birojiem pamatā ir divas funkcijas (pienākumi):</w:t>
      </w:r>
    </w:p>
    <w:p w14:paraId="0FA76FC6" w14:textId="77777777" w:rsidR="00F80CD9" w:rsidRPr="00F80CD9" w:rsidRDefault="00F80CD9" w:rsidP="00F80CD9">
      <w:pPr>
        <w:numPr>
          <w:ilvl w:val="0"/>
          <w:numId w:val="5"/>
        </w:numPr>
        <w:spacing w:before="200" w:after="0" w:line="240" w:lineRule="auto"/>
        <w:ind w:left="714" w:hanging="357"/>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izskatīt un nokārtot zaudējumu atlīdzības prasības, kas radušās no negadījumiem, kuros iesaistīti citu valstu transportlīdzekļi;</w:t>
      </w:r>
    </w:p>
    <w:p w14:paraId="2577BE9F" w14:textId="77777777" w:rsidR="00F80CD9" w:rsidRPr="00F80CD9" w:rsidRDefault="00F80CD9" w:rsidP="00F80CD9">
      <w:pPr>
        <w:numPr>
          <w:ilvl w:val="0"/>
          <w:numId w:val="5"/>
        </w:numPr>
        <w:spacing w:before="200" w:after="0" w:line="240" w:lineRule="auto"/>
        <w:ind w:left="714" w:hanging="357"/>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garantēt mehānisko transportlīdzekļu apdrošināšanas sertifikātus – zaļās kartes – ko izsniedz apdrošinātāji (</w:t>
      </w:r>
      <w:r w:rsidRPr="00F80CD9">
        <w:rPr>
          <w:rFonts w:ascii="Times New Roman" w:eastAsia="Calibri" w:hAnsi="Times New Roman" w:cs="Times New Roman"/>
          <w:i/>
          <w:iCs/>
          <w:sz w:val="24"/>
          <w:szCs w:val="24"/>
        </w:rPr>
        <w:t xml:space="preserve">The functions of the Green Card Bureaux. Website of the Council of Bureaux. Pieejams: </w:t>
      </w:r>
      <w:hyperlink r:id="rId14" w:history="1">
        <w:r w:rsidRPr="00F80CD9">
          <w:rPr>
            <w:rFonts w:ascii="Times New Roman" w:eastAsia="Calibri" w:hAnsi="Times New Roman" w:cs="Times New Roman"/>
            <w:color w:val="0563C1"/>
            <w:sz w:val="24"/>
            <w:szCs w:val="24"/>
            <w:u w:val="single"/>
          </w:rPr>
          <w:t>https://www.cobx.org/index.php/article/45/gc-system-composed-green-card-bureaux-48-countries-participating-system</w:t>
        </w:r>
      </w:hyperlink>
      <w:r w:rsidRPr="00F80CD9">
        <w:rPr>
          <w:rFonts w:ascii="Times New Roman" w:eastAsia="Calibri" w:hAnsi="Times New Roman" w:cs="Times New Roman"/>
          <w:sz w:val="24"/>
          <w:szCs w:val="24"/>
        </w:rPr>
        <w:t>).</w:t>
      </w:r>
    </w:p>
    <w:p w14:paraId="7DD89C5F"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Ievērojot iepriekš minēto, secināms, ka, pirmkārt, valsts apdrošinātāju apvienība (nacionālais birojs) ir apdrošinātāju izveidota profesionālā organizācija (privāttiesību subjekts). Otrkārt, Zaļās kartes sistēmas nacionālo biroju funkcijas jeb pienākumus jāpilda tieši valsts apdrošinātāju apvienībām. Proti, starptautiskās tiesības paredz, ka Latvijas Republikas zaļās kartes sistēmas nacionālā biroja pienākumus jāpilda LTAB.</w:t>
      </w:r>
    </w:p>
    <w:p w14:paraId="79F3D4B4"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No VPIL regulējuma izriet, ka valsts pārvaldes uzdevumus pamatā pilda valsts pārvaldes iestādes. Atbilstoši VPIL 40. panta pirmajai daļai, valsts pārvaldes uzdevumus var deleģēt privātpersonai, tikai tad, ja privātpersona attiecīgo uzdevumu var veikt efektīvāk. Savukārt no VPIL 41. panta pirmās daļas izriet, ka publiska persona var deleģēt tikai tādus pārvaldes uzdevumus, kuru izpilde ietilpst attiecīgās publiskās personas kompetencē. </w:t>
      </w:r>
      <w:r w:rsidRPr="00F80CD9">
        <w:rPr>
          <w:rFonts w:ascii="Times New Roman" w:eastAsia="Calibri" w:hAnsi="Times New Roman" w:cs="Times New Roman"/>
          <w:sz w:val="24"/>
          <w:szCs w:val="24"/>
          <w:u w:val="single"/>
        </w:rPr>
        <w:t>Situācija, kad zaļās kartes sistēmas nacionālo biroju funkcijas pildītu valsts pārvaldes iestāde, nonāktu pretrunā ar Latvijas starptautiskajām saistībām. Tādēļ valsts pārvaldes iestāde nevar pildīt zaļās kartes biroja pienākumus un, secīgi, šo pienākumu deleģēšana privātpersonai nav iespējama</w:t>
      </w:r>
      <w:r w:rsidRPr="00F80CD9">
        <w:rPr>
          <w:rFonts w:ascii="Times New Roman" w:eastAsia="Calibri" w:hAnsi="Times New Roman" w:cs="Times New Roman"/>
          <w:sz w:val="24"/>
          <w:szCs w:val="24"/>
        </w:rPr>
        <w:t>.</w:t>
      </w:r>
    </w:p>
    <w:p w14:paraId="1A3408AF"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rPr>
      </w:pPr>
      <w:r w:rsidRPr="00F80CD9">
        <w:rPr>
          <w:rFonts w:ascii="Times New Roman" w:eastAsia="Calibri" w:hAnsi="Times New Roman" w:cs="Times New Roman"/>
          <w:b/>
          <w:bCs/>
          <w:sz w:val="24"/>
          <w:szCs w:val="24"/>
        </w:rPr>
        <w:t>Ievērojot minēto, Zaļās kartes sistēmas Biroju padomes locekļa un Latvijas Republikas Zaļās kartes sistēmas nacionālā biroja pienākumu pildīšana neietilpst valsts pārvaldes funkcijās un nav uzskatāma par deleģējumu privātpersonai.</w:t>
      </w:r>
    </w:p>
    <w:p w14:paraId="593DEED3"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[3] </w:t>
      </w:r>
      <w:r w:rsidRPr="00F80CD9">
        <w:rPr>
          <w:rFonts w:ascii="Times New Roman" w:eastAsia="Calibri" w:hAnsi="Times New Roman" w:cs="Times New Roman"/>
          <w:sz w:val="24"/>
          <w:szCs w:val="24"/>
        </w:rPr>
        <w:t>Likumprojekta 3. pants citastarp paredz, ka arī Garantijas fonda administrēšana ir deleģēts valsts pārvaldes uzdevums. LTAB piekrīt, ka parasti garantijas fondi ir publiski fondi un to administrēšana ir valsts pārvaldes uzdevums. Taču no spēkā esošā OCTA likuma regulējuma skaidri neizriet, ka Garantijas fonds ir publisks fonds un tā administrēšana ir pārvaldes uzdevums.</w:t>
      </w:r>
    </w:p>
    <w:p w14:paraId="37FFF8E8"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OCTA likuma 51. panta pirmā daļa paredz, ka Garantijas fondu </w:t>
      </w:r>
      <w:r w:rsidRPr="00F80CD9">
        <w:rPr>
          <w:rFonts w:ascii="Times New Roman" w:eastAsia="Calibri" w:hAnsi="Times New Roman" w:cs="Times New Roman"/>
          <w:sz w:val="24"/>
          <w:szCs w:val="24"/>
          <w:u w:val="single"/>
        </w:rPr>
        <w:t>izveido</w:t>
      </w:r>
      <w:r w:rsidRPr="00F80CD9">
        <w:rPr>
          <w:rFonts w:ascii="Times New Roman" w:eastAsia="Calibri" w:hAnsi="Times New Roman" w:cs="Times New Roman"/>
          <w:sz w:val="24"/>
          <w:szCs w:val="24"/>
        </w:rPr>
        <w:t xml:space="preserve"> apdrošinātāji, t.i., privātpersonas. Arī Garantijas fondu administrēšana ir uzticēta privāto tiesību juridiskai personai – LTAB. No OCTA likuma 51. panta sestās daļas izriet, ka Garantijas fonda līdzekļu veidošanā netiek izmantoti valsts budžeta līdzekļi. Savukārt OCTA likuma 51. panta devītā daļa noteic, ka Garantijas fonda izveidošanas, uzkrāšanas un administrēšanas kartību uzrauga Finanšu un kapitāla tirgus komisija (turpmāk – </w:t>
      </w:r>
      <w:r w:rsidRPr="00F80CD9">
        <w:rPr>
          <w:rFonts w:ascii="Times New Roman" w:eastAsia="Calibri" w:hAnsi="Times New Roman" w:cs="Times New Roman"/>
          <w:b/>
          <w:bCs/>
          <w:sz w:val="24"/>
          <w:szCs w:val="24"/>
        </w:rPr>
        <w:t>FKTK</w:t>
      </w:r>
      <w:r w:rsidRPr="00F80CD9">
        <w:rPr>
          <w:rFonts w:ascii="Times New Roman" w:eastAsia="Calibri" w:hAnsi="Times New Roman" w:cs="Times New Roman"/>
          <w:sz w:val="24"/>
          <w:szCs w:val="24"/>
        </w:rPr>
        <w:t>). Situācijā, kurā fondu izveido un pārvalda privātpersonas, fonda līdzekļos netiek izmantoti budžeta līdzekļi un fonda pārvaldes uzraudzību veic FKTK (atbilstoši FKTK likuma 2. panta pirmajai daļai, FKTK regulē un pārrauga finanšu un kapitāla tirgu un tā dalībnieku darbību), varētu izdarīt secinājumu, ka Garantijas fonds vairāk atbilst privāta fonda pazīmēm.</w:t>
      </w:r>
    </w:p>
    <w:p w14:paraId="71FCB777"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lastRenderedPageBreak/>
        <w:t xml:space="preserve">Papildus iepriekš minētajam jānorāda, ka  Ministru kabineta 2005. gada 22. marta noteikumu Nr. 195 "Sauszemes transportlīdzekļu īpašnieku civiltiesiskās atbildības obligātās apdrošināšanas garantijas fonda izveidošanas, uzkrāšanas un administrēšanas kārtība" (turpmāk – </w:t>
      </w:r>
      <w:r w:rsidRPr="00F80CD9">
        <w:rPr>
          <w:rFonts w:ascii="Times New Roman" w:eastAsia="Calibri" w:hAnsi="Times New Roman" w:cs="Times New Roman"/>
          <w:b/>
          <w:bCs/>
          <w:sz w:val="24"/>
          <w:szCs w:val="24"/>
        </w:rPr>
        <w:t>Noteikumi Nr. 195</w:t>
      </w:r>
      <w:r w:rsidRPr="00F80CD9">
        <w:rPr>
          <w:rFonts w:ascii="Times New Roman" w:eastAsia="Calibri" w:hAnsi="Times New Roman" w:cs="Times New Roman"/>
          <w:sz w:val="24"/>
          <w:szCs w:val="24"/>
        </w:rPr>
        <w:t xml:space="preserve">) 13. punkts paredz: Garantijas fonda maksātspējas apdraudējuma gadījumā </w:t>
      </w:r>
      <w:r w:rsidRPr="00F80CD9">
        <w:rPr>
          <w:rFonts w:ascii="Times New Roman" w:eastAsia="Calibri" w:hAnsi="Times New Roman" w:cs="Times New Roman"/>
          <w:sz w:val="24"/>
          <w:szCs w:val="24"/>
          <w:u w:val="single"/>
        </w:rPr>
        <w:t>papildu iemaksas veic un fonda stabilitāti nodrošina apdrošinātāji (fonda izveidotāji) no saviem līdzekļiem.</w:t>
      </w:r>
      <w:r w:rsidRPr="00F80CD9">
        <w:rPr>
          <w:rFonts w:ascii="Times New Roman" w:eastAsia="Calibri" w:hAnsi="Times New Roman" w:cs="Times New Roman"/>
          <w:sz w:val="24"/>
          <w:szCs w:val="24"/>
        </w:rPr>
        <w:t xml:space="preserve"> Proti, atbilstoši spēkā esošajam regulējumam pat situācijā, kad fonda maksātspēja ir apdraudēta, valsts nav uzņēmusies nekādas finansiālas saistībās situācijas stabilizēšanā. Normatīvais regulējums, kas neparedz valsts aktīvu iesaisti publiska fonda maksātspējas apdraudējuma novēršanā, netieši norāda, ka fonda darbība un tā administrēšana notiek privāto tiesību jomā un nav valsts pārvaldes uzdevums, par kura izpildi valsts uzņemas atbildību.</w:t>
      </w:r>
    </w:p>
    <w:p w14:paraId="0717529C"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LTAB uzskata, ja OCTA likuma grozījumu rezultātā Garantijas fonds un tā administrēšana nepārprotami tiktu pārcelta publisko tiesību jomā, būtu nepieciešami daudz plašāki OCTA likuma un uz tā pamata izdoto Ministru kabineta noteikumu grozījumi. </w:t>
      </w:r>
    </w:p>
    <w:p w14:paraId="24C8E03F"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Pirmkārt, no VPIL 43. panta izriet, ka deleģēta pārvaldes uzdevuma izpildi uzrauga iestāde, kuras padotībā atrodas privātpersona. Proti, ja Garantijas fonda administrēšana tiktu formulēta kā deleģēts pārvaldes uzdevums, pārvaldes uzdevuma izpildes uzraudzību vajadzētu veikt Finanšu ministrijai. Vienlaikus OCTA likumā tiktu saglabāta norma, kas paredz, ka fonda administrēšanas uzraudzību veic FKTK. Šāds savstarpēji pretrunīgs regulējums radītu vairākas neskaidrības tā piemērošanā. Piemēram, neskaidrs būtu jautājums par to, kāda loma būtu FKTK fonda administrēšanas uzraudzībā, ja Finanšu ministrija pārņemtu Garantijas fonda administrēšanu (VPIL 37. pants).  Turklāt regulējums, kas paredz, ka vienu un to pašu darbību uzrauga divas dažādas valsts pārvaldes iestādes, nonāk pretrunā labas likumdošanas principam. Kompetenču pārklāšanās ir valsts pārvaldes iestāžu sistēmas organizācijas kļūda (</w:t>
      </w:r>
      <w:r w:rsidRPr="00F80CD9">
        <w:rPr>
          <w:rFonts w:ascii="Times New Roman" w:eastAsia="Calibri" w:hAnsi="Times New Roman" w:cs="Times New Roman"/>
          <w:i/>
          <w:iCs/>
          <w:sz w:val="24"/>
          <w:szCs w:val="24"/>
        </w:rPr>
        <w:t>sk. Levits E. Valsts pārvaldes iekārtas likuma koncepcija. Publicēts oficiālajā laikrakstā "Latvijas Vēstnesis", 26.06.2002., Nr. 95. Pieejams: https://www.vestnesis.lv/ta/id/63685</w:t>
      </w:r>
      <w:r w:rsidRPr="00F80CD9">
        <w:rPr>
          <w:rFonts w:ascii="Times New Roman" w:eastAsia="Calibri" w:hAnsi="Times New Roman" w:cs="Times New Roman"/>
          <w:sz w:val="24"/>
          <w:szCs w:val="24"/>
        </w:rPr>
        <w:t>).</w:t>
      </w:r>
    </w:p>
    <w:p w14:paraId="494FA5DB"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Otrkārt, Garantijas fonda administrēšanas uzdevuma pārveidošana par deleģētu valsts pārvaldes uzdevumu principā nozīmētu to, ka Garantijas fonds ir publisks fonds. LTAB uzskata, ka valstij ir pienākums būt ieinteresētai un uzņemties atbildību par publiska fonda maksātspējas apdraudējumu novēršanu. Tādēļ būtu nepieciešami grozījumi Noteikumos Nr. 195, paredzot valsts iesaistes mehānismus fonda maksātspējas apdraudējuma gadījumā. Piemēram, OCTA likums vai Noteikumi Nr. 195 varētu tikt papildināti ar līdzīgu regulējumu kā tas ir noteikts Noguldījumu garantiju likuma 21. panta ceturtajā daļā, paredzot, ka trūkstošos līdzekļus varētu piešķirt no budžeta līdzekļiem apropriācijas kārtībā vai aizdevuma veidā. Privātpersonām uzlikts pienākums bez valsts iesaistes uzturēt un glābt </w:t>
      </w:r>
      <w:r w:rsidRPr="00F80CD9">
        <w:rPr>
          <w:rFonts w:ascii="Times New Roman" w:eastAsia="Calibri" w:hAnsi="Times New Roman" w:cs="Times New Roman"/>
          <w:sz w:val="24"/>
          <w:szCs w:val="24"/>
          <w:u w:val="single"/>
        </w:rPr>
        <w:t>maksātnespējīgu publisku fondu</w:t>
      </w:r>
      <w:r w:rsidRPr="00F80CD9">
        <w:rPr>
          <w:rFonts w:ascii="Times New Roman" w:eastAsia="Calibri" w:hAnsi="Times New Roman" w:cs="Times New Roman"/>
          <w:sz w:val="24"/>
          <w:szCs w:val="24"/>
        </w:rPr>
        <w:t xml:space="preserve"> varētu radīt nesamērīgu Satversmes 105. pantā paredzēto tiesību uz īpašumu ierobežojumu.</w:t>
      </w:r>
    </w:p>
    <w:p w14:paraId="0F9A9BA7"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LTAB pieļauj, ka, lai novērstu neskaidrības par Garantijas fonda statusu, būtu nepieciešami arī citi OCTA likuma grozījumi, piemēram, 51. panta pirmās daļas grozījumi, kas saistīti ar fonda izveidošanu.</w:t>
      </w:r>
    </w:p>
    <w:p w14:paraId="39520805"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No Likumprojekta anotācijas kopumā izriet, ka grozījumu mērķis ir LTAB uzdevumu pārraudzības jeb uzraudzības pilnveidošana. LTAB vērš uzmanību, ka minēto mērķi var sasniegt arī ar citiem līdzekļiem, kas neradītu pretrunas normatīvo aktu sistēmā. Piemēram, varētu tikt apsvērta iespēja pārskatīt modeli un mehānismu, kāda FKTK uzrauga Garantijas fonda administrēšanu. </w:t>
      </w:r>
    </w:p>
    <w:p w14:paraId="1B0A840E"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lastRenderedPageBreak/>
        <w:t xml:space="preserve">[4] </w:t>
      </w:r>
      <w:r w:rsidRPr="00F80CD9">
        <w:rPr>
          <w:rFonts w:ascii="Times New Roman" w:eastAsia="Calibri" w:hAnsi="Times New Roman" w:cs="Times New Roman"/>
          <w:sz w:val="24"/>
          <w:szCs w:val="24"/>
        </w:rPr>
        <w:t>LTAB neapstrīd, ka likumdevējs principā var tieši noteikt, ka konkrēta tiesiskā attiecība ir publiski tiesiska vai privāttiesiska. Taču likumdevēja rīcības brīvība, nosakot tiesiskās attiecības raksturu, nav absolūta (</w:t>
      </w:r>
      <w:r w:rsidRPr="00F80CD9">
        <w:rPr>
          <w:rFonts w:ascii="Times New Roman" w:eastAsia="Calibri" w:hAnsi="Times New Roman" w:cs="Times New Roman"/>
          <w:i/>
          <w:iCs/>
          <w:sz w:val="24"/>
          <w:szCs w:val="24"/>
        </w:rPr>
        <w:t>Danovskis E. Publisko un privāto tiesību dalījuma nozīme un piemērošanas problēmas Latvijā. Rīga: Latvijas Vēstnesis, 2015, 186.lpp</w:t>
      </w:r>
      <w:r w:rsidRPr="00F80CD9">
        <w:rPr>
          <w:rFonts w:ascii="Times New Roman" w:eastAsia="Calibri" w:hAnsi="Times New Roman" w:cs="Times New Roman"/>
          <w:sz w:val="24"/>
          <w:szCs w:val="24"/>
        </w:rPr>
        <w:t xml:space="preserve">). </w:t>
      </w:r>
    </w:p>
    <w:p w14:paraId="7D78D790"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No Satversmes tiesas judikatūras izriet, ka likumdošanas procesā jāievēro vispārējie tiesību principi, Satversmē un Saeimas kārtības rullī reglamentētie procesuālie priekšnoteikumi un prasības. Likumdevējam jāizvērtē likumprojektā paredzēto tiesību normu atbilstība augstāka juridiska spēka tiesību normām, tostarp Satversmei, starptautiskajām un Eiropas Savienības tiesību normām, un </w:t>
      </w:r>
      <w:r w:rsidRPr="00F80CD9">
        <w:rPr>
          <w:rFonts w:ascii="Times New Roman" w:eastAsia="Calibri" w:hAnsi="Times New Roman" w:cs="Times New Roman"/>
          <w:sz w:val="24"/>
          <w:szCs w:val="24"/>
          <w:u w:val="single"/>
        </w:rPr>
        <w:t>jāsaskaņo likumprojektā paredzētās tiesību normas un tiesību sistēmā jau pastāvošās tiesību normas atbilstoši racionāla likumdevēja principam</w:t>
      </w:r>
      <w:r w:rsidRPr="00F80CD9">
        <w:rPr>
          <w:rFonts w:ascii="Times New Roman" w:eastAsia="Calibri" w:hAnsi="Times New Roman" w:cs="Times New Roman"/>
          <w:sz w:val="24"/>
          <w:szCs w:val="24"/>
        </w:rPr>
        <w:t xml:space="preserve"> (</w:t>
      </w:r>
      <w:r w:rsidRPr="00F80CD9">
        <w:rPr>
          <w:rFonts w:ascii="Times New Roman" w:eastAsia="Calibri" w:hAnsi="Times New Roman" w:cs="Times New Roman"/>
          <w:i/>
          <w:iCs/>
          <w:sz w:val="24"/>
          <w:szCs w:val="24"/>
        </w:rPr>
        <w:t>Satversmes tiesas 2019. gada 6. marta spriedums lietā Nr. 2018-11-01 18.1. punkts</w:t>
      </w:r>
      <w:r w:rsidRPr="00F80CD9">
        <w:rPr>
          <w:rFonts w:ascii="Times New Roman" w:eastAsia="Calibri" w:hAnsi="Times New Roman" w:cs="Times New Roman"/>
          <w:sz w:val="24"/>
          <w:szCs w:val="24"/>
        </w:rPr>
        <w:t>). Likumdevējam, pieņemot tiesību normu, vienmēr ir jāpārliecinās par tās ietekmi uz pastāvošajām tiesībām (</w:t>
      </w:r>
      <w:r w:rsidRPr="00F80CD9">
        <w:rPr>
          <w:rFonts w:ascii="Times New Roman" w:eastAsia="Calibri" w:hAnsi="Times New Roman" w:cs="Times New Roman"/>
          <w:i/>
          <w:iCs/>
          <w:sz w:val="24"/>
          <w:szCs w:val="24"/>
        </w:rPr>
        <w:t>Satversmes tiesas 2005. gada 13. maija sprieduma lietā Nr. 2004-18-0106 20.3. punkts</w:t>
      </w:r>
      <w:r w:rsidRPr="00F80CD9">
        <w:rPr>
          <w:rFonts w:ascii="Times New Roman" w:eastAsia="Calibri" w:hAnsi="Times New Roman" w:cs="Times New Roman"/>
          <w:sz w:val="24"/>
          <w:szCs w:val="24"/>
        </w:rPr>
        <w:t xml:space="preserve">). </w:t>
      </w:r>
    </w:p>
    <w:p w14:paraId="1FF29E49"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Tiesiskās noteiktības, labas likumdošanas un racionālā likumdevēja principi ierobežo likumdevēja iespējas pieņemt tādas normas, kas neatbilst paša likumdevēja iepriekš radītiem tiesiskā regulējuma pamatprincipiem. Tādēļ arī likumdevēja izvēle, nosakot konkrētu tiesisko attiecību raksturu (publiskas vai privātas), nedrīkst būt patvaļīga. Lemjot par to, vai konkrētam iestādes lēmumam jābūt administratīvajam aktam vai lēmuma privāto tiesību jomā, likumdevējam ir jāņem vērā no tiesību doktrīnas un tiesu prakses izrietošie publiski tiesisko un privāttiesisko attiecību nošķiršanas kritēriji (</w:t>
      </w:r>
      <w:r w:rsidRPr="00F80CD9">
        <w:rPr>
          <w:rFonts w:ascii="Times New Roman" w:eastAsia="Calibri" w:hAnsi="Times New Roman" w:cs="Times New Roman"/>
          <w:i/>
          <w:iCs/>
          <w:sz w:val="24"/>
          <w:szCs w:val="24"/>
        </w:rPr>
        <w:t>sal. sk. Danovskis E. Publisko un privāto tiesību dalījuma nozīme un piemērošanas problēmas Latvijā. Rīga: Latvijas Vēstnesis, 2015, 187.lpp</w:t>
      </w:r>
      <w:r w:rsidRPr="00F80CD9">
        <w:rPr>
          <w:rFonts w:ascii="Times New Roman" w:eastAsia="Calibri" w:hAnsi="Times New Roman" w:cs="Times New Roman"/>
          <w:sz w:val="24"/>
          <w:szCs w:val="24"/>
        </w:rPr>
        <w:t>).</w:t>
      </w:r>
    </w:p>
    <w:p w14:paraId="39AF0A72"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Likumprojekta 3. pantā paredzēto grozījumu rezultātā OCTA likuma 44. panta otrās daļā noteiktie LTAB uzdevumi būs deleģēti pārvaldes uzdevumi. Līdz ar to LTAB darbība, pildot deleģētos pārvaldes uzdevumus, tiks veikta publisko tiesību jomā un pieņemtie lēmumi būs kvalificējami kā administratīvie akti. Arī LTAB rīcība, kas rada faktiskas sekas, tiks kvalificēta kā faktiskā rīcība Administratīvā procesa likuma (turpmāk – </w:t>
      </w:r>
      <w:r w:rsidRPr="00F80CD9">
        <w:rPr>
          <w:rFonts w:ascii="Times New Roman" w:eastAsia="Calibri" w:hAnsi="Times New Roman" w:cs="Times New Roman"/>
          <w:b/>
          <w:bCs/>
          <w:sz w:val="24"/>
          <w:szCs w:val="24"/>
        </w:rPr>
        <w:t>APL</w:t>
      </w:r>
      <w:r w:rsidRPr="00F80CD9">
        <w:rPr>
          <w:rFonts w:ascii="Times New Roman" w:eastAsia="Calibri" w:hAnsi="Times New Roman" w:cs="Times New Roman"/>
          <w:sz w:val="24"/>
          <w:szCs w:val="24"/>
        </w:rPr>
        <w:t>) izpratnē. Vēl jo vairāk, pildot pēc būtības privāttiesiskas dabas funkcijas, LTAB būs pilnībā saistoši VPIL noteikumi (VPIL 3. panta otrā daļa).</w:t>
      </w:r>
    </w:p>
    <w:p w14:paraId="0B308C89"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Pildot deleģētos pārvaldes uzdevumus, LTAB būs uzskatāma par iestādi APL 1. panta pirmās daļas izpratnē. Lēmums par kompensācijas izmaksu no Garantiju fonda būs uzskatāms par administratīvo aktu APL 1. panta trešās daļas izpratnē. Vienlaikus, ievērojot OCTA likuma 44. panta otrajā daļā paredzēto LTAB uzdevumu privāttiesisko raksturu, šāda situācija nonāktu pretrunā APL 1. panta trešās daļas 1. punktam (administratīvais akts nav iestādes lēmums vai cita veida darbība privāto tiesību jomā), kā arī APL 2. pantā nostiprinātajiem likuma pamatmērķiem (nodrošināt demokrātiskas, tiesiskas valsts pamatprincipu ievērošanu </w:t>
      </w:r>
      <w:r w:rsidRPr="00F80CD9">
        <w:rPr>
          <w:rFonts w:ascii="Times New Roman" w:eastAsia="Calibri" w:hAnsi="Times New Roman" w:cs="Times New Roman"/>
          <w:sz w:val="24"/>
          <w:szCs w:val="24"/>
          <w:u w:val="single"/>
        </w:rPr>
        <w:t>publiski tiesiskās attiecībās starp valsti un privātpersonu;</w:t>
      </w:r>
      <w:r w:rsidRPr="00F80CD9">
        <w:rPr>
          <w:rFonts w:ascii="Times New Roman" w:eastAsia="Calibri" w:hAnsi="Times New Roman" w:cs="Times New Roman"/>
          <w:sz w:val="24"/>
          <w:szCs w:val="24"/>
        </w:rPr>
        <w:t xml:space="preserve"> pakļaut tiesu varas kontrolei </w:t>
      </w:r>
      <w:r w:rsidRPr="00F80CD9">
        <w:rPr>
          <w:rFonts w:ascii="Times New Roman" w:eastAsia="Calibri" w:hAnsi="Times New Roman" w:cs="Times New Roman"/>
          <w:sz w:val="24"/>
          <w:szCs w:val="24"/>
          <w:u w:val="single"/>
        </w:rPr>
        <w:t>izpildvaras darbības</w:t>
      </w:r>
      <w:r w:rsidRPr="00F80CD9">
        <w:rPr>
          <w:rFonts w:ascii="Times New Roman" w:eastAsia="Calibri" w:hAnsi="Times New Roman" w:cs="Times New Roman"/>
          <w:sz w:val="24"/>
          <w:szCs w:val="24"/>
        </w:rPr>
        <w:t xml:space="preserve">; nodrošināt tiesību normu tiesisku, precīzu un efektīvu piemērošanu </w:t>
      </w:r>
      <w:r w:rsidRPr="00F80CD9">
        <w:rPr>
          <w:rFonts w:ascii="Times New Roman" w:eastAsia="Calibri" w:hAnsi="Times New Roman" w:cs="Times New Roman"/>
          <w:sz w:val="24"/>
          <w:szCs w:val="24"/>
          <w:u w:val="single"/>
        </w:rPr>
        <w:t>publiski tiesiskajās attiecībās</w:t>
      </w:r>
      <w:r w:rsidRPr="00F80CD9">
        <w:rPr>
          <w:rFonts w:ascii="Times New Roman" w:eastAsia="Calibri" w:hAnsi="Times New Roman" w:cs="Times New Roman"/>
          <w:sz w:val="24"/>
          <w:szCs w:val="24"/>
        </w:rPr>
        <w:t>).</w:t>
      </w:r>
    </w:p>
    <w:p w14:paraId="608C246E"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Pēc būtības privāttiesisku darbību un attiecību pakļaušana APL regulējumam nonāk pretrunā ar labas likumdošanas un racionāla likumdevēja principiem, jo neatbilst APL regulējuma pamatprincipiem un administratīvā procesa būtībai. Turklāt, pārveidojot LATB uzdevumus par valsts pārvaldes uzdevumiem, APL un VPIL regulējuma piemērošana to izpildē radītu vairākas neskaidrības un ievērojami palielinātu LTAB procedūru birokrātisko slogu, kas nav raksturīgi LTAB funkcijām.</w:t>
      </w:r>
    </w:p>
    <w:p w14:paraId="7B5E86CB"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APL 3. panta pirmā daļa noteic, ka APL regulējumu piemēro administratīvajā procesā iestādē, ciktāl citu likumu speciālajās tiesību normās nav noteikta cita kārtība. No minētā izriet, ka, ja jautājums </w:t>
      </w:r>
      <w:r w:rsidRPr="00F80CD9">
        <w:rPr>
          <w:rFonts w:ascii="Times New Roman" w:eastAsia="Calibri" w:hAnsi="Times New Roman" w:cs="Times New Roman"/>
          <w:sz w:val="24"/>
          <w:szCs w:val="24"/>
        </w:rPr>
        <w:lastRenderedPageBreak/>
        <w:t>speciālajās tiesību normās nav pilnīgi noregulēts vai vispār nav regulēts, piemērojams vispārīgais APL B daļas regulējums (</w:t>
      </w:r>
      <w:r w:rsidRPr="00F80CD9">
        <w:rPr>
          <w:rFonts w:ascii="Times New Roman" w:eastAsia="Calibri" w:hAnsi="Times New Roman" w:cs="Times New Roman"/>
          <w:i/>
          <w:iCs/>
          <w:sz w:val="24"/>
          <w:szCs w:val="24"/>
        </w:rPr>
        <w:t>Administratīvā procesa likuma komentāri. A un B daļa. Sagatavojis autoru kolektīvs. Dr.iur. J. Briedes zinātniskajā redakcijā. – Rīga: Tiesu namu aģentūra, 2013, 112.lpp.</w:t>
      </w:r>
      <w:r w:rsidRPr="00F80CD9">
        <w:rPr>
          <w:rFonts w:ascii="Times New Roman" w:eastAsia="Calibri" w:hAnsi="Times New Roman" w:cs="Times New Roman"/>
          <w:sz w:val="24"/>
          <w:szCs w:val="24"/>
        </w:rPr>
        <w:t>).</w:t>
      </w:r>
    </w:p>
    <w:p w14:paraId="74661D18"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OCTA likums tikai vispārīgi regulē jautājumus par LTAB lēmumu pieņemšanu, tajā skaitā par apdrošināšanas atlīdzības izmaksāšanu un informācijas sniegšanu (gadījumus, kad un kādos gadījumos ir jāpieņem lēmumus un jāsniedz informācija, termiņus, kuros jāiekļaujas). Līdz ar to ar Likumprojektu paredzēto grozījumu rezultātā LTAB savā darbībā pirmšķietami būs jāpiemēro APL B daļas procesuālie noteikumi, tajā skaitā procesa dalībnieku (arī trešo personu) uzklausīšana, iepazīstināšana ar lietas materiāliem, lēmuma satura un formas noteikumi, paziņošana u.c. LTAB varētu nākties lietā kā trešo personu pieaicināt, piemēram, transportlīdzekļa īpašnieku, kurš nav iegādājies OCTA, un noskaidrot šo personu viedokli. </w:t>
      </w:r>
    </w:p>
    <w:p w14:paraId="0C770B99"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LTAB uzdevumu izpildē būs saistoši arī APL vispārīgie noteikumi, tajā skaitā saistībā ar pārstāvju pilnvarojuma noformēšanu un procesuālajiem termiņiem, piemēram, par procesuālo termiņu atjaunošanu, ja privātpersona to ir nokavējusi, kā arī procesuālo termiņu pagarināšanu lēmumu pieņemšanā.</w:t>
      </w:r>
    </w:p>
    <w:p w14:paraId="4E049305"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Minēto APL noteikumu piemērošana LTAB darbībā būtu neracionāla un radītu pārlieku lielu birokrātisko slogu un procesu sarežģītību gan trešajām personām un transportlīdzekļu īpašniekiem, gan LTAB, tajā skaitā sadarbībā ar citu valstu birojiem. No Likumprojekta anotācijas neizriet, ka šie jautājumi būtu pienācīgi apsvērti.</w:t>
      </w:r>
    </w:p>
    <w:p w14:paraId="208907A0"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Papildus iepriekš minētajam rastos neskaidrības arī par privātpersonu tiesībām uz atlīdzinājumu. APL 92. pants paredz, ka ikviens ir tiesīgs prasīt atbilstīgu atlīdzinājumu par mantiskajiem zaudējumiem vai personisko kaitējumu, arī morālo kaitējumu, kas viņam nodarīts ar administratīvo aktu vai iestādes faktisko rīcību. VPIL 44. panta pirmā daļa paredz, ka mantiskos zaudējumus un personisko kaitējumu, kas nodarīts trešajai personai, atlīdzina no valsts budžeta gadījumā, kad deleģēšana ir noteikta ar likumu. Ņemot vērā, ka OCTA likums atsevišķi neregulē jautājumu par zaudējumu atlīdzināšanu prettiesiska administratīvā akta vai faktiskās rīcības gadījumā, varētu rasties situācijas, kur privātpersonas mēģina īstenot savas tiesības uz atlīdzinājumu APL un Valsts pārvaldes iestāžu nodarīto zaudējumu atlīdzināšanas likuma kārtībā, proti, no Finanšu ministrijas. Līdz ar to zaudējumus nāktos segt no valsts budžeta un regresa ceļā piedzīt no LTAB, kas, ievērojot OCTA likuma 48. pantu, faktiski nozīmētu zaudējumu piedzīšanu no apdrošinātājiem, kuriem nav deleģēta pārvaldes uzdevumu izpilde.</w:t>
      </w:r>
    </w:p>
    <w:p w14:paraId="43F652AD"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Neskaidrības rastos arī saistībā ar valsts pārvaldes uzdevumu izpildei nepieciešamo finansējumu. OCTA likuma 48. pants šobrīd paredz, ka LTAB darbību, tajā skaitā mērķu un uzdevumu izpildi, finansē apdrošinātāji. Savukārt VPIL 43.</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sz w:val="24"/>
          <w:szCs w:val="24"/>
        </w:rPr>
        <w:t xml:space="preserve"> panta pirmā daļa imperatīvi paredz, ka pakalpojumus, veicot valsts pārvaldes uzdevumus, privātpersona sniedz saimnieciskās darbības veidā par atlīdzību, kuru privātpersona izmanto savas darbības nodrošināšanai un attiecīgā valsts pārvaldes uzdevuma veikšanai, ja normatīvajos aktos nodokļu un nodevu jomā nav noteikts citādi. Tā kā nodokļu un nodevu jomas regulējošie normatīvie akti citādu kārtību neparedz, LTAB pieņem, ka pēc Likumprojekta pieņemšanas LTAB sniegtie pakalpojumi (piemēram, informācijas sniegšana privātpersonām, rekomendējoša atzinuma sniegšana, ekspertu sertificēšana) būs maksas pakalpojumi, kuru apmēru vai tā noteikšanas un apstiprināšanas kārtību, kā arī atbrīvojumus noteiktu Ministru kabinets (VPIL 43.</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sz w:val="24"/>
          <w:szCs w:val="24"/>
        </w:rPr>
        <w:t xml:space="preserve"> panta otrā daļa). </w:t>
      </w:r>
    </w:p>
    <w:p w14:paraId="5BCE909C"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lastRenderedPageBreak/>
        <w:t>Ievērojot, ka Finanšu ministrijai OCTA jomā ir politikas plānošanas funkcija, nav skaidrs arī tas, kā ministrija vajadzības gadījumā plāno praktiski realizēt VPIL 37. panta otrajā daļā paredzētās tiesības pārņemt LTAB lietvedībā esošu lietu savā kompetencē. It īpaši ņemot vērā, ka atbilstoši VPIL 39. panta pirmajai daļai, pārņemot lietvedību savā kompetencē, Finanšu ministrija uzņemot atbildību par pieņemto lēmumu.</w:t>
      </w:r>
    </w:p>
    <w:p w14:paraId="1E8EA1BE"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rPr>
      </w:pPr>
      <w:r w:rsidRPr="00F80CD9">
        <w:rPr>
          <w:rFonts w:ascii="Times New Roman" w:eastAsia="Calibri" w:hAnsi="Times New Roman" w:cs="Times New Roman"/>
          <w:b/>
          <w:bCs/>
          <w:sz w:val="24"/>
          <w:szCs w:val="24"/>
        </w:rPr>
        <w:t>Tādējādi secināms, ka Likumprojekta regulējums, kas paredz, ka LTAB uzdevumi ir deleģēti valsts pārvaldes uzdevumi, nonāk pretrunā spēkā esošajam tiesiskajam regulējumam, rada nesamērīgu birokrātisko slogu, kā arī rada neskaidrības par APL un VPIL praktisko pielietojumu LTAB funkciju izpildē.</w:t>
      </w:r>
    </w:p>
    <w:p w14:paraId="60DFAD2B"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[5] </w:t>
      </w:r>
      <w:r w:rsidRPr="00F80CD9">
        <w:rPr>
          <w:rFonts w:ascii="Times New Roman" w:eastAsia="Calibri" w:hAnsi="Times New Roman" w:cs="Times New Roman"/>
          <w:sz w:val="24"/>
          <w:szCs w:val="24"/>
        </w:rPr>
        <w:t xml:space="preserve">Likumprojekta 3. pants paredz izteikt jaunā redakcijā OCTA likuma 44. panta otro daļu, nosakot konkrētus LTAB deleģētos valsts pārvaldes uzdevumus. Vienlaicīgi Likumprojektā paredzēto 44. panta otrās daļas grozījumu rezultātā no OCTA likuma tiktu izslēgti vairāki šobrīd esošajā redakcijā paredzētie LTAB uzdevumi, piemēram, 44. panta otrās daļas 16. punktā paredzētais uzdevums apstiprināt apdrošināšanas polišu veidlapas un to aizpildīšanas noteikumus un 44. panta otrās daļas 17. punktā paredzētais uzdevums apstiprināt saskaņotā paziņojuma veidlapas un to aizpildīšanas noteikumus. </w:t>
      </w:r>
    </w:p>
    <w:p w14:paraId="00033ED7"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LTAB pieļauj, ka no 44. panta otrās daļas izslēgtie uzdevumi būtu pildāmi pēc LTAB pašas iniciatīvas, neatkarīgi no tā vai tie ir tiešā veidā uzskaitīti OCTA likumā. Taču varētu rasties neskaidrības saistībā ar no 44. panta otrās daļas izslēgto uzdevumu pildīšanai nepieciešamo finansējumu. Proti, OCTA likuma 48. panta otrā daļa garantē LTAB finansējuma pietiekamību tikai attiecībā uz OCTA likumā noteikto uzdevumu un mērķu īstenošanu. Ņemot vērā, ka vairāki līdzšinējie pienākumi vairs netiktu tiešā veidā uzskaitīti OCTA likumā, </w:t>
      </w:r>
      <w:r w:rsidRPr="00F80CD9">
        <w:rPr>
          <w:rFonts w:ascii="Times New Roman" w:eastAsia="Calibri" w:hAnsi="Times New Roman" w:cs="Times New Roman"/>
          <w:sz w:val="24"/>
          <w:szCs w:val="24"/>
          <w:u w:val="single"/>
        </w:rPr>
        <w:t>varētu rasties neskaidrības saistībā ar šo uzdevumu izpildei nepieciešamo finansējumu.</w:t>
      </w:r>
    </w:p>
    <w:p w14:paraId="178E6705"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u w:val="single"/>
        </w:rPr>
      </w:pPr>
      <w:r w:rsidRPr="00F80CD9">
        <w:rPr>
          <w:rFonts w:ascii="Times New Roman" w:eastAsia="Calibri" w:hAnsi="Times New Roman" w:cs="Times New Roman"/>
          <w:b/>
          <w:bCs/>
          <w:sz w:val="24"/>
          <w:szCs w:val="24"/>
          <w:u w:val="single"/>
        </w:rPr>
        <w:softHyphen/>
        <w:t>NO IEBILDUMIEM IZRIETOŠIE IETEIKUMI</w:t>
      </w:r>
    </w:p>
    <w:p w14:paraId="4D12E509"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[1] </w:t>
      </w:r>
      <w:r w:rsidRPr="00F80CD9">
        <w:rPr>
          <w:rFonts w:ascii="Times New Roman" w:eastAsia="Calibri" w:hAnsi="Times New Roman" w:cs="Times New Roman"/>
          <w:sz w:val="24"/>
          <w:szCs w:val="24"/>
        </w:rPr>
        <w:t xml:space="preserve">Ievērojot iepriekš minētos iebildumus, LTAB rosina neietvert Likumprojektā norādes uz to, ka LTAB tiek deleģēti valsts pārvaldes uzdevumi. </w:t>
      </w:r>
    </w:p>
    <w:p w14:paraId="68E9771A"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Ievērojot to, ka Ministru kabineta noteikumos ir paredzētas (reglamentētas) konkrētas prasības sertifikāta iegūšanai, LTAB uzskata, ka tehnisko ekspertu sertificēšanai varētu būt publiski tiesiska daba (valsts pārvaldes uzdevums). Šāda pieeja ir raksturīga arī citu reglamentēto profesiju vai noteiktu nodarbošanos sertificēšanā. Vienlaikus LTAB uzskata, ka OCTA likumā nav nepieciešams ietvert tiešu norādi uz to, ka tehnisko ekspertu sertificēšana ir deleģēts valsts pārvaldes uzdevumus.</w:t>
      </w:r>
    </w:p>
    <w:p w14:paraId="5F8B0718"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Tehnisko ekspertu sertificēšanas tiesisko dabu un lēmumu pārsūdzēšanas kārtību varētu precizēt, piemēram, ar grozījumiem OCTA likuma 37. pantā, paredzot, ka LTAB lēmums par sertifikāta piešķiršanu, sertifikāta atkārtotu izsniegšanu, sertifikāta darbības apturēšanu, sertifikāta anulēšanu vai par atteikumu piešķirt sertifikātu ir administratīvais akts un pārsūdzams Administratīvajā tiesā APL noteiktajā kārtībā.</w:t>
      </w:r>
    </w:p>
    <w:p w14:paraId="739C1E13" w14:textId="77777777" w:rsidR="00F80CD9" w:rsidRPr="00F80CD9" w:rsidRDefault="00F80CD9" w:rsidP="00F80CD9">
      <w:pPr>
        <w:spacing w:before="200" w:after="0" w:line="240" w:lineRule="auto"/>
        <w:jc w:val="both"/>
        <w:rPr>
          <w:rFonts w:ascii="Times New Roman" w:eastAsia="Calibri" w:hAnsi="Times New Roman" w:cs="Times New Roman"/>
          <w:sz w:val="24"/>
          <w:szCs w:val="24"/>
          <w:u w:val="single"/>
        </w:rPr>
      </w:pPr>
      <w:r w:rsidRPr="00F80CD9">
        <w:rPr>
          <w:rFonts w:ascii="Times New Roman" w:eastAsia="Calibri" w:hAnsi="Times New Roman" w:cs="Times New Roman"/>
          <w:b/>
          <w:bCs/>
          <w:sz w:val="24"/>
          <w:szCs w:val="24"/>
        </w:rPr>
        <w:t xml:space="preserve">[2] </w:t>
      </w:r>
      <w:r w:rsidRPr="00F80CD9">
        <w:rPr>
          <w:rFonts w:ascii="Times New Roman" w:eastAsia="Calibri" w:hAnsi="Times New Roman" w:cs="Times New Roman"/>
          <w:sz w:val="24"/>
          <w:szCs w:val="24"/>
        </w:rPr>
        <w:t xml:space="preserve">Ņemot vērā, ka Likumprojekta 3. pantā piedāvātie OCTA likuma 44. panta otrās daļas grozījumi sašaurina likumā tieši uzskaitīto LTAB uzdevumu klāstu, kā arī varētu radīt neskaidrības par nepieciešamo finansējumu likumā neminētu, bet OCTA sistēmas darbībai svarīgu uzdevumu veikšanai, </w:t>
      </w:r>
      <w:r w:rsidRPr="00F80CD9">
        <w:rPr>
          <w:rFonts w:ascii="Times New Roman" w:eastAsia="Calibri" w:hAnsi="Times New Roman" w:cs="Times New Roman"/>
          <w:sz w:val="24"/>
          <w:szCs w:val="24"/>
          <w:u w:val="single"/>
        </w:rPr>
        <w:t>LTAB rosina atstāt OCTA likuma 44. panta otro daļu negrozītu.</w:t>
      </w:r>
    </w:p>
    <w:p w14:paraId="473AB07E"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lastRenderedPageBreak/>
        <w:t xml:space="preserve">[3] </w:t>
      </w:r>
      <w:r w:rsidRPr="00F80CD9">
        <w:rPr>
          <w:rFonts w:ascii="Times New Roman" w:eastAsia="Calibri" w:hAnsi="Times New Roman" w:cs="Times New Roman"/>
          <w:sz w:val="24"/>
          <w:szCs w:val="24"/>
        </w:rPr>
        <w:t>LTAB rosina izskatīt alternatīvas iespējas pilnveidot Garantijas fonda administrēšanas uzraudzību, piemēram, pilnveidojot līdzšinējo modeli, kura ietvaros uzraudzību veic FKTK.</w:t>
      </w:r>
    </w:p>
    <w:p w14:paraId="3191B9B3"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[4] </w:t>
      </w:r>
      <w:r w:rsidRPr="00F80CD9">
        <w:rPr>
          <w:rFonts w:ascii="Times New Roman" w:eastAsia="Calibri" w:hAnsi="Times New Roman" w:cs="Times New Roman"/>
          <w:sz w:val="24"/>
          <w:szCs w:val="24"/>
        </w:rPr>
        <w:t>Likumprojekta 2. pantā piedāvātie OCTA likuma 43. panta pirmās daļas grozījumi paredz, ka LTAB veic OCTA likuma 44. panta</w:t>
      </w:r>
      <w:r w:rsidRPr="00F80CD9">
        <w:rPr>
          <w:rFonts w:ascii="Times New Roman" w:eastAsia="Calibri" w:hAnsi="Times New Roman" w:cs="Times New Roman"/>
          <w:sz w:val="24"/>
          <w:szCs w:val="24"/>
          <w:u w:val="single"/>
        </w:rPr>
        <w:t xml:space="preserve"> pirmajā daļā</w:t>
      </w:r>
      <w:r w:rsidRPr="00F80CD9">
        <w:rPr>
          <w:rFonts w:ascii="Times New Roman" w:eastAsia="Calibri" w:hAnsi="Times New Roman" w:cs="Times New Roman"/>
          <w:sz w:val="24"/>
          <w:szCs w:val="24"/>
        </w:rPr>
        <w:t xml:space="preserve"> deleģētos valsts pārvaldes uzdevumus. Taču no Likumprojekta 3. panta izriet, ka valsts pārvaldes deleģētos uzdevumus ir paredzēts uzskaitīt OCTA likuma 44. panta </w:t>
      </w:r>
      <w:r w:rsidRPr="00F80CD9">
        <w:rPr>
          <w:rFonts w:ascii="Times New Roman" w:eastAsia="Calibri" w:hAnsi="Times New Roman" w:cs="Times New Roman"/>
          <w:sz w:val="24"/>
          <w:szCs w:val="24"/>
          <w:u w:val="single"/>
        </w:rPr>
        <w:t>otrajā daļā</w:t>
      </w:r>
      <w:r w:rsidRPr="00F80CD9">
        <w:rPr>
          <w:rFonts w:ascii="Times New Roman" w:eastAsia="Calibri" w:hAnsi="Times New Roman" w:cs="Times New Roman"/>
          <w:sz w:val="24"/>
          <w:szCs w:val="24"/>
        </w:rPr>
        <w:t xml:space="preserve">. LTAB pieļauj, ka Likumprojekta 2. pantā piedāvātajā OCTA likuma 43. panta pirmās daļas redakcijā ir </w:t>
      </w:r>
      <w:r w:rsidRPr="00F80CD9">
        <w:rPr>
          <w:rFonts w:ascii="Times New Roman" w:eastAsia="Calibri" w:hAnsi="Times New Roman" w:cs="Times New Roman"/>
          <w:sz w:val="24"/>
          <w:szCs w:val="24"/>
          <w:u w:val="single"/>
        </w:rPr>
        <w:t>ieviesusies tehniska kļūda, un aicina Finanšu ministriju to izlabot.</w:t>
      </w:r>
      <w:r w:rsidRPr="00F80CD9">
        <w:rPr>
          <w:rFonts w:ascii="Times New Roman" w:eastAsia="Calibri" w:hAnsi="Times New Roman" w:cs="Times New Roman"/>
          <w:sz w:val="24"/>
          <w:szCs w:val="24"/>
        </w:rPr>
        <w:t xml:space="preserve"> </w:t>
      </w:r>
    </w:p>
    <w:p w14:paraId="3E8DDF65"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p>
    <w:p w14:paraId="63BFF796" w14:textId="77777777" w:rsidR="00F80CD9" w:rsidRPr="00F80CD9" w:rsidRDefault="00F80CD9" w:rsidP="00F80CD9">
      <w:pPr>
        <w:numPr>
          <w:ilvl w:val="0"/>
          <w:numId w:val="4"/>
        </w:numPr>
        <w:spacing w:before="200" w:after="0" w:line="240" w:lineRule="auto"/>
        <w:ind w:left="714" w:hanging="357"/>
        <w:jc w:val="center"/>
        <w:rPr>
          <w:rFonts w:ascii="Times New Roman" w:eastAsia="Calibri" w:hAnsi="Times New Roman" w:cs="Times New Roman"/>
          <w:b/>
          <w:bCs/>
          <w:sz w:val="28"/>
          <w:szCs w:val="28"/>
        </w:rPr>
      </w:pPr>
      <w:r w:rsidRPr="00F80CD9">
        <w:rPr>
          <w:rFonts w:ascii="Times New Roman" w:eastAsia="Calibri" w:hAnsi="Times New Roman" w:cs="Times New Roman"/>
          <w:b/>
          <w:bCs/>
          <w:sz w:val="28"/>
          <w:szCs w:val="28"/>
        </w:rPr>
        <w:t>LTAB lēmumu apstrīdēšana un pārsūdzēšana</w:t>
      </w:r>
    </w:p>
    <w:p w14:paraId="568A23C9" w14:textId="77777777" w:rsidR="00F80CD9" w:rsidRPr="00F80CD9" w:rsidRDefault="00F80CD9" w:rsidP="00F80CD9">
      <w:pPr>
        <w:spacing w:before="200" w:after="0" w:line="240" w:lineRule="auto"/>
        <w:rPr>
          <w:rFonts w:ascii="Times New Roman" w:eastAsia="Calibri" w:hAnsi="Times New Roman" w:cs="Times New Roman"/>
          <w:sz w:val="24"/>
          <w:szCs w:val="24"/>
        </w:rPr>
      </w:pPr>
      <w:r w:rsidRPr="00F80CD9">
        <w:rPr>
          <w:rFonts w:ascii="Times New Roman" w:eastAsia="Calibri" w:hAnsi="Times New Roman" w:cs="Times New Roman"/>
          <w:sz w:val="24"/>
          <w:szCs w:val="24"/>
        </w:rPr>
        <w:t>Likumprojekta 3. pants paredz papildināt OCTA likuma 44. pantu ar 2.</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sz w:val="24"/>
          <w:szCs w:val="24"/>
        </w:rPr>
        <w:t xml:space="preserve"> daļu šādā redakcijā:</w:t>
      </w:r>
    </w:p>
    <w:p w14:paraId="0C8BBE40" w14:textId="77777777" w:rsidR="00F80CD9" w:rsidRPr="00F80CD9" w:rsidRDefault="00F80CD9" w:rsidP="00F80CD9">
      <w:pPr>
        <w:spacing w:before="200" w:after="0" w:line="240" w:lineRule="auto"/>
        <w:ind w:left="862" w:right="862"/>
        <w:jc w:val="both"/>
        <w:rPr>
          <w:rFonts w:ascii="Times New Roman" w:eastAsia="Calibri" w:hAnsi="Times New Roman" w:cs="Times New Roman"/>
          <w:i/>
          <w:iCs/>
          <w:sz w:val="24"/>
          <w:szCs w:val="24"/>
        </w:rPr>
      </w:pPr>
      <w:r w:rsidRPr="00F80CD9">
        <w:rPr>
          <w:rFonts w:ascii="Times New Roman" w:eastAsia="Calibri" w:hAnsi="Times New Roman" w:cs="Times New Roman"/>
          <w:i/>
          <w:iCs/>
          <w:sz w:val="24"/>
          <w:szCs w:val="24"/>
        </w:rPr>
        <w:t>“(2</w:t>
      </w:r>
      <w:r w:rsidRPr="00F80CD9">
        <w:rPr>
          <w:rFonts w:ascii="Times New Roman" w:eastAsia="Calibri" w:hAnsi="Times New Roman" w:cs="Times New Roman"/>
          <w:i/>
          <w:iCs/>
          <w:sz w:val="24"/>
          <w:szCs w:val="24"/>
          <w:vertAlign w:val="superscript"/>
        </w:rPr>
        <w:t>1</w:t>
      </w:r>
      <w:r w:rsidRPr="00F80CD9">
        <w:rPr>
          <w:rFonts w:ascii="Times New Roman" w:eastAsia="Calibri" w:hAnsi="Times New Roman" w:cs="Times New Roman"/>
          <w:i/>
          <w:iCs/>
          <w:sz w:val="24"/>
          <w:szCs w:val="24"/>
        </w:rPr>
        <w:t>) Transportlīdzekļu apdrošinātāju biroja lēmumus, kas saistīti ar šā likuma 44.panta otrās daļas 5., 6. un 7. punktā deleģētajiem valsts pārvaldes uzdevumiem, var apstrīdēt Finanšu ministrijā, bet Finanšu ministrijas lēmumus var pārsūdzēt tiesā Administratīvā procesa likumā noteiktajā kārtībā. Transportlīdzekļu apdrošinātāju biroja lēmumus, kas saistīti ar šā likuma 44.panta otrās daļas 8.punktā deleģēto valsts pārvaldes uzdevumu, var pārsūdzēt tiesā Administratīvā procesa likumā noteiktajā kārtībā.”</w:t>
      </w:r>
    </w:p>
    <w:p w14:paraId="680E43C3" w14:textId="77777777" w:rsidR="00F80CD9" w:rsidRPr="00F80CD9" w:rsidRDefault="00F80CD9" w:rsidP="00F80CD9">
      <w:pPr>
        <w:spacing w:before="200" w:after="0" w:line="240" w:lineRule="auto"/>
        <w:rPr>
          <w:rFonts w:ascii="Times New Roman" w:eastAsia="Calibri" w:hAnsi="Times New Roman" w:cs="Times New Roman"/>
          <w:sz w:val="24"/>
          <w:szCs w:val="24"/>
        </w:rPr>
      </w:pPr>
      <w:r w:rsidRPr="00F80CD9">
        <w:rPr>
          <w:rFonts w:ascii="Times New Roman" w:eastAsia="Calibri" w:hAnsi="Times New Roman" w:cs="Times New Roman"/>
          <w:sz w:val="24"/>
          <w:szCs w:val="24"/>
        </w:rPr>
        <w:t>No minētā izrietētu, ka privātpersonas varētu apstrīdēt Finanšu ministrijā LTAB lēmumus, kas pieņemti sekojošu uzdevumu veikšanas ietvaros:</w:t>
      </w:r>
    </w:p>
    <w:p w14:paraId="064A779F" w14:textId="77777777" w:rsidR="00F80CD9" w:rsidRPr="00F80CD9" w:rsidRDefault="00F80CD9" w:rsidP="00F80CD9">
      <w:pPr>
        <w:numPr>
          <w:ilvl w:val="0"/>
          <w:numId w:val="6"/>
        </w:numPr>
        <w:spacing w:before="200" w:after="0" w:line="240" w:lineRule="auto"/>
        <w:ind w:left="714" w:hanging="357"/>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uzturēt sauszemes transportlīdzekļu īpašnieku civiltiesiskās atbildības obligātās apdrošināšanas darbībai nepieciešamo informācijas sistēmu un nodrošināt tās iekļaušanu integrētajā valsts informācijas sistēmā Ministru kabineta noteikumos noteiktajā kārtībā;</w:t>
      </w:r>
    </w:p>
    <w:p w14:paraId="71DBB1D3" w14:textId="77777777" w:rsidR="00F80CD9" w:rsidRPr="00F80CD9" w:rsidRDefault="00F80CD9" w:rsidP="00F80CD9">
      <w:pPr>
        <w:numPr>
          <w:ilvl w:val="0"/>
          <w:numId w:val="6"/>
        </w:numPr>
        <w:spacing w:before="200" w:after="0" w:line="240" w:lineRule="auto"/>
        <w:ind w:left="714" w:hanging="357"/>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sniegt informāciju šā likuma 50.pantā noteiktajos gadījumos;</w:t>
      </w:r>
    </w:p>
    <w:p w14:paraId="1441EC28" w14:textId="77777777" w:rsidR="00F80CD9" w:rsidRPr="00F80CD9" w:rsidRDefault="00F80CD9" w:rsidP="00F80CD9">
      <w:pPr>
        <w:numPr>
          <w:ilvl w:val="0"/>
          <w:numId w:val="6"/>
        </w:numPr>
        <w:spacing w:before="200" w:after="0" w:line="240" w:lineRule="auto"/>
        <w:ind w:left="714" w:hanging="357"/>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pildīt Zaļās kartes sistēmas Biroju padomes locekļa pienākumus un Latvijas Republikas Zaļās kartes sistēmas nacionālā biroja pienākumus.</w:t>
      </w:r>
    </w:p>
    <w:p w14:paraId="400D81CA"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Finanšu ministrijas lēmumus iepriekš minētajās jomās varētu pārsūdzēt tiesā APL noteiktajā kārtībā.</w:t>
      </w:r>
    </w:p>
    <w:p w14:paraId="6138F241"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Savukārt LTAB lēmumus, kas saistīti ar tehnisko ekspertu sertificēšanu un apmācību privātpersonas APL noteiktajā kārtībā varētu pārsūdzēt uzreiz tiesā.</w:t>
      </w:r>
    </w:p>
    <w:p w14:paraId="60B29994"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u w:val="single"/>
        </w:rPr>
        <w:t>IEBILDUMI</w:t>
      </w:r>
    </w:p>
    <w:p w14:paraId="3EBAA72C" w14:textId="77777777" w:rsidR="00F80CD9" w:rsidRPr="00F80CD9" w:rsidRDefault="00F80CD9" w:rsidP="00F80CD9">
      <w:pPr>
        <w:spacing w:before="200" w:after="0" w:line="240" w:lineRule="auto"/>
        <w:jc w:val="both"/>
        <w:rPr>
          <w:rFonts w:ascii="Times New Roman" w:eastAsia="Calibri" w:hAnsi="Times New Roman" w:cs="Times New Roman"/>
          <w:sz w:val="24"/>
          <w:szCs w:val="24"/>
          <w:u w:val="single"/>
        </w:rPr>
      </w:pPr>
      <w:r w:rsidRPr="00F80CD9">
        <w:rPr>
          <w:rFonts w:ascii="Times New Roman" w:eastAsia="Calibri" w:hAnsi="Times New Roman" w:cs="Times New Roman"/>
          <w:b/>
          <w:bCs/>
          <w:sz w:val="24"/>
          <w:szCs w:val="24"/>
        </w:rPr>
        <w:t>[1]</w:t>
      </w:r>
      <w:r w:rsidRPr="00F80CD9">
        <w:rPr>
          <w:rFonts w:ascii="Times New Roman" w:eastAsia="Calibri" w:hAnsi="Times New Roman" w:cs="Times New Roman"/>
          <w:sz w:val="24"/>
          <w:szCs w:val="24"/>
        </w:rPr>
        <w:t xml:space="preserve"> LTAB vērš uzmanību uz to, ka APL noteiktajā kārtībā privātpersona var apstrīdēt iestādes izdotos administratīvos aktus un faktisko rīcību (tiesā tiek izskatīti arī atsevišķi strīdi, kas izriet no publisko tiesību līgumiem). No OCTA likuma regulējuma izriet, ka saistībā ar pienākumiem uzturēt OCTA darbībai nepieciešamo informācijas sistēmu un nodrošināt tās iekļaušanu integrētajā valsts informācijas sistēmā </w:t>
      </w:r>
      <w:r w:rsidRPr="00F80CD9">
        <w:rPr>
          <w:rFonts w:ascii="Times New Roman" w:eastAsia="Calibri" w:hAnsi="Times New Roman" w:cs="Times New Roman"/>
          <w:sz w:val="24"/>
          <w:szCs w:val="24"/>
          <w:u w:val="single"/>
        </w:rPr>
        <w:t xml:space="preserve">LTAB nav paredzētas tiesības izdot administratīvos aktus vai veikt uz āru vērstu faktisko rīcību. Ja tas </w:t>
      </w:r>
      <w:r w:rsidRPr="00F80CD9">
        <w:rPr>
          <w:rFonts w:ascii="Times New Roman" w:eastAsia="Calibri" w:hAnsi="Times New Roman" w:cs="Times New Roman"/>
          <w:i/>
          <w:iCs/>
          <w:sz w:val="24"/>
          <w:szCs w:val="24"/>
          <w:u w:val="single"/>
        </w:rPr>
        <w:t>expressis verbis</w:t>
      </w:r>
      <w:r w:rsidRPr="00F80CD9">
        <w:rPr>
          <w:rFonts w:ascii="Times New Roman" w:eastAsia="Calibri" w:hAnsi="Times New Roman" w:cs="Times New Roman"/>
          <w:sz w:val="24"/>
          <w:szCs w:val="24"/>
          <w:u w:val="single"/>
        </w:rPr>
        <w:t xml:space="preserve"> nav paredzēts, pārvaldes uzdevuma deleģēšanas ietvaros to darīt nedrīkst. </w:t>
      </w:r>
    </w:p>
    <w:p w14:paraId="19AC05C0"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lastRenderedPageBreak/>
        <w:t>OCTA informācijas sistēmas struktūru un LTAB tiesības un pienākumus, apstrādājot datus informācijas sistēmā regulē OCTA likuma 58. un 59. pants. No šīm normām neizriet, ka LTAB būtu jāpieņem kādi privātpersonām saistoši lēmumi saistībā ar OCTA informācijas sistēmu. No APL 31. un 76. panta izriet, ka tiesības apstrīdēt un pārsūdzēt iestāžu lēmumus vai faktisko rīcību ir personām, kuru tiesības vai tiesiskās intereses ir aizskartas vai var tikt aizskartas. Ievērojot OCTA likuma un uz tā pamata izdoto Ministru kabineta noteikumu regulējumu, saistībā ar OCTA informācijas sistēmas uzturēšanu un iekļaušanu integrētajā valsts informācijas sistēmā LTAB kompetencē neietilpst tādu darbību veikšana, kas varētu aizskart privātpersonu tiesības vai tiesiskās intereses.</w:t>
      </w:r>
    </w:p>
    <w:p w14:paraId="77654427"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rPr>
      </w:pPr>
      <w:r w:rsidRPr="00F80CD9">
        <w:rPr>
          <w:rFonts w:ascii="Times New Roman" w:eastAsia="Calibri" w:hAnsi="Times New Roman" w:cs="Times New Roman"/>
          <w:b/>
          <w:bCs/>
          <w:sz w:val="24"/>
          <w:szCs w:val="24"/>
        </w:rPr>
        <w:t>Ievērojot iepriekš minēto, OCTA likuma regulējuma papildināšana ar OCTA informācijas sistēmas uzturēšanas ietvaros pieņemto lēmumu apstrīdēšanas un pārsūdzēšanas kārtību ir bezmērķīga un praksē šāda norma netiktu piemērota.</w:t>
      </w:r>
    </w:p>
    <w:p w14:paraId="02F48F39"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[2] </w:t>
      </w:r>
      <w:r w:rsidRPr="00F80CD9">
        <w:rPr>
          <w:rFonts w:ascii="Times New Roman" w:eastAsia="Calibri" w:hAnsi="Times New Roman" w:cs="Times New Roman"/>
          <w:sz w:val="24"/>
          <w:szCs w:val="24"/>
        </w:rPr>
        <w:t xml:space="preserve">OCTA likuma 50. pants paredz, ka LTAB ir pienākums sniegt panta pirmajā daļa noteikto informāciju privātpersonām (transportlīdzekļa īpašniekiem un turētājiem, apdrošinātājiem un trešajām personām). </w:t>
      </w:r>
    </w:p>
    <w:p w14:paraId="7B272557"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Pieņemot, ka OCTA likuma 50. pantā paredzētais pienākums sniegt informāciju ir valsts pārvaldes uzdevums (ievērojot I. daļā izklāstītos apsvērumus, šāds pieņēmums ir apšaubāms), atteikums izsniegt pieprasīto informāciju vai nepilnīgas informācijas sniegšana varētu būt administratīvais akts vai faktiskā rīcība (</w:t>
      </w:r>
      <w:r w:rsidRPr="00F80CD9">
        <w:rPr>
          <w:rFonts w:ascii="Times New Roman" w:eastAsia="Calibri" w:hAnsi="Times New Roman" w:cs="Times New Roman"/>
          <w:i/>
          <w:iCs/>
          <w:sz w:val="24"/>
          <w:szCs w:val="24"/>
        </w:rPr>
        <w:t>Administratīvā procesa likuma komentāri. A un B daļa. Sagatavojis autoru kolektīvs. Dr.iur. J. Briedes zinātniskajā redakcijā. – Rīga: Tiesu namu aģentūra, 2013, 893.-894.lpp.</w:t>
      </w:r>
      <w:r w:rsidRPr="00F80CD9">
        <w:rPr>
          <w:rFonts w:ascii="Times New Roman" w:eastAsia="Calibri" w:hAnsi="Times New Roman" w:cs="Times New Roman"/>
          <w:sz w:val="24"/>
          <w:szCs w:val="24"/>
        </w:rPr>
        <w:t>).</w:t>
      </w:r>
    </w:p>
    <w:p w14:paraId="27D07E2F"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LTAB piekrīt, ka šobrīd OCTA likums neparedz efektīvu tiesību aizsardzības līdzekli gadījumos, kad OCTA likuma 50. pantā paredzēto informāciju tiek atteikts izsniegt nepamatoti. </w:t>
      </w:r>
      <w:r w:rsidRPr="00F80CD9">
        <w:rPr>
          <w:rFonts w:ascii="Times New Roman" w:eastAsia="Calibri" w:hAnsi="Times New Roman" w:cs="Times New Roman"/>
          <w:sz w:val="24"/>
          <w:szCs w:val="24"/>
          <w:u w:val="single"/>
        </w:rPr>
        <w:t>Taču arī ar Likumprojektu paredzētā kārtība nevar tikt uzskatīta par efektīvu tiesību aizsardzības līdzekli.</w:t>
      </w:r>
      <w:r w:rsidRPr="00F80CD9">
        <w:rPr>
          <w:rFonts w:ascii="Times New Roman" w:eastAsia="Calibri" w:hAnsi="Times New Roman" w:cs="Times New Roman"/>
          <w:sz w:val="24"/>
          <w:szCs w:val="24"/>
        </w:rPr>
        <w:t xml:space="preserve"> Piemēram, atbilstoši OCTA likuma 50. panta pirmās daļas 4. punktam trešās personas pieprasa informāciju par ceļu satiksmes negadījumā zaudējumu nodarījušā transportlīdzekļa īpašnieku vai tiesīgo lietotāju, lai varētu aizsargāt savas likumīgās intereses civilprocesuālā kārtībā. Atbilstoši Likumprojektam strīds par atteikumu izsniegt informāciju tiktu izskatīts sākumā Finanšu ministrijā, bet Finanšu ministrijas lēmumu, ja tas ir nelabvēlīgs privātpersonai, vēl potenciāli varētu izskatīt trīs instancēs administratīvajā tiesā. Kopumā administratīvais process saistībā ar atteikumu sniegt informāciju varētu aizņemt pat divus gadus, un šajā laikā persona nevarētu īstenot savu civilo tiesību aizsardzību. </w:t>
      </w:r>
    </w:p>
    <w:p w14:paraId="04859A22"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No Direktīvas 2009/103/EK 43. ievada apsvēruma izriet, ka dalībvalstīm būtu jāizveido sistēma, kuras ietvaros privātpersonas informāciju no informācijas centriem varētu iegūt </w:t>
      </w:r>
      <w:r w:rsidRPr="00F80CD9">
        <w:rPr>
          <w:rFonts w:ascii="Times New Roman" w:eastAsia="Calibri" w:hAnsi="Times New Roman" w:cs="Times New Roman"/>
          <w:sz w:val="24"/>
          <w:szCs w:val="24"/>
          <w:u w:val="single"/>
        </w:rPr>
        <w:t>nekavējoties</w:t>
      </w:r>
      <w:r w:rsidRPr="00F80CD9">
        <w:rPr>
          <w:rFonts w:ascii="Times New Roman" w:eastAsia="Calibri" w:hAnsi="Times New Roman" w:cs="Times New Roman"/>
          <w:sz w:val="24"/>
          <w:szCs w:val="24"/>
        </w:rPr>
        <w:t>. LTAB ieskatā garš administratīvais process negarantē privātpersonu tiesību aizsardzību Direktīvas 2009/103/EK prasītajā līmenī.</w:t>
      </w:r>
    </w:p>
    <w:p w14:paraId="1476C1A7"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rPr>
      </w:pPr>
      <w:r w:rsidRPr="00F80CD9">
        <w:rPr>
          <w:rFonts w:ascii="Times New Roman" w:eastAsia="Calibri" w:hAnsi="Times New Roman" w:cs="Times New Roman"/>
          <w:b/>
          <w:bCs/>
          <w:sz w:val="24"/>
          <w:szCs w:val="24"/>
        </w:rPr>
        <w:t>Ņemot vērā iepriekš minēto, Likumprojektā paredzētā kārtība, kur atteikumu sniegt, informāciju apstrīd Finanšu ministrijā un Finanšu ministrijas lēmumu pārsūdz tiesā APL kārtībā, nav efektīvs tiesību aizsardzības līdzeklis.</w:t>
      </w:r>
    </w:p>
    <w:p w14:paraId="2AEFD918" w14:textId="77777777" w:rsidR="00F80CD9" w:rsidRPr="00F80CD9" w:rsidRDefault="00F80CD9" w:rsidP="00F80CD9">
      <w:pPr>
        <w:spacing w:before="200" w:after="0" w:line="240" w:lineRule="auto"/>
        <w:jc w:val="both"/>
        <w:rPr>
          <w:rFonts w:ascii="Times New Roman" w:eastAsia="Calibri" w:hAnsi="Times New Roman" w:cs="Times New Roman"/>
          <w:bCs/>
          <w:iCs/>
          <w:sz w:val="24"/>
          <w:szCs w:val="24"/>
        </w:rPr>
      </w:pPr>
      <w:r w:rsidRPr="00F80CD9">
        <w:rPr>
          <w:rFonts w:ascii="Times New Roman" w:eastAsia="Calibri" w:hAnsi="Times New Roman" w:cs="Times New Roman"/>
          <w:b/>
          <w:bCs/>
          <w:sz w:val="24"/>
          <w:szCs w:val="24"/>
        </w:rPr>
        <w:t xml:space="preserve">[3] </w:t>
      </w:r>
      <w:r w:rsidRPr="00F80CD9">
        <w:rPr>
          <w:rFonts w:ascii="Times New Roman" w:eastAsia="Calibri" w:hAnsi="Times New Roman" w:cs="Times New Roman"/>
          <w:sz w:val="24"/>
          <w:szCs w:val="24"/>
        </w:rPr>
        <w:t>Likumprojekta 3. pantā paredzētā OCTA likuma 44. panta 2.</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sz w:val="24"/>
          <w:szCs w:val="24"/>
        </w:rPr>
        <w:t xml:space="preserve"> daļa privātpersonām ļautu apstrīdēt Finanšu ministrijā un APL kārtībā pārsūdzēt administratīvajā tiesā arī tādus lēmumus, kurus LTAB pieņem, pildot zaļās kartes sistēmas nacionālā biroja pienākumus. Zaļās kartes sistēmas nacionālā </w:t>
      </w:r>
      <w:r w:rsidRPr="00F80CD9">
        <w:rPr>
          <w:rFonts w:ascii="Times New Roman" w:eastAsia="Calibri" w:hAnsi="Times New Roman" w:cs="Times New Roman"/>
          <w:sz w:val="24"/>
          <w:szCs w:val="24"/>
        </w:rPr>
        <w:lastRenderedPageBreak/>
        <w:t xml:space="preserve">biroja pienākumos, citastarp, ietilpst arī pienākums kompensēt </w:t>
      </w:r>
      <w:r w:rsidRPr="00F80CD9">
        <w:rPr>
          <w:rFonts w:ascii="Times New Roman" w:eastAsia="Calibri" w:hAnsi="Times New Roman" w:cs="Times New Roman"/>
          <w:bCs/>
          <w:iCs/>
          <w:sz w:val="24"/>
          <w:szCs w:val="24"/>
        </w:rPr>
        <w:t>zaudējumus, ko nodarījuši transportlīdzekļi ar Latvijas Republikas reģistrāciju ārvalstīs, un izmaksāt kompensāciju par zaudējumiem, ko nodarījuši transportlīdzekļi ar ārvalsts reģistrāciju Latvijas Republikā.</w:t>
      </w:r>
    </w:p>
    <w:p w14:paraId="4E6834C0" w14:textId="77777777" w:rsidR="00F80CD9" w:rsidRPr="00F80CD9" w:rsidRDefault="00F80CD9" w:rsidP="00F80CD9">
      <w:pPr>
        <w:spacing w:before="200" w:after="0" w:line="240" w:lineRule="auto"/>
        <w:jc w:val="both"/>
        <w:rPr>
          <w:rFonts w:ascii="Times New Roman" w:eastAsia="Calibri" w:hAnsi="Times New Roman" w:cs="Times New Roman"/>
          <w:bCs/>
          <w:iCs/>
          <w:sz w:val="24"/>
          <w:szCs w:val="24"/>
        </w:rPr>
      </w:pPr>
      <w:r w:rsidRPr="00F80CD9">
        <w:rPr>
          <w:rFonts w:ascii="Times New Roman" w:eastAsia="Calibri" w:hAnsi="Times New Roman" w:cs="Times New Roman"/>
          <w:bCs/>
          <w:iCs/>
          <w:sz w:val="24"/>
          <w:szCs w:val="24"/>
        </w:rPr>
        <w:t>Kopumā likumdevējam ir rīcības brīvība noteikt gan procesa veidu, gan arī to, kādas lietas izskatīs konkrētā procesa kārtībā. Tomēr likumdevēja rīcības brīvība nav absolūta. Proti, tās robežas noteic lietderības apsvērumi un tiesību uz taisnīgu tiesu būtība. Izraudzītajam procesa veidam ir jāļauj izskatīt konkrēto lietu pēc iespējas atbilstoši un efektīvi, aptverot ļoti daudzus procesuālos jautājumus (piemēram, tiesvedības uzsākšana, pierādīšanas pienākums, tiesas specializācija un spēja izspriest šādas lietas, pagaidu tiesas aizsardzības piemērošanas iespēja). Tāpat nepieciešams ņemt vērā, ka procesa veids, kurā izskata attiecīgās lietas, nedrīkst liegt personai tiesības uz taisnīgu tiesu pēc būtības vai būtiski ierobežot personas tiesības aizstāvēt savas tiesības. Piemēram, nebūtu pieļaujama krimināltiesisku jautājumu izskatīšana civilprocesuālā kārtībā (</w:t>
      </w:r>
      <w:r w:rsidRPr="00F80CD9">
        <w:rPr>
          <w:rFonts w:ascii="Times New Roman" w:eastAsia="Calibri" w:hAnsi="Times New Roman" w:cs="Times New Roman"/>
          <w:bCs/>
          <w:i/>
          <w:sz w:val="24"/>
          <w:szCs w:val="24"/>
        </w:rPr>
        <w:t>Satversmes tiesas 2006. gada 14. marta sprieduma lietā Nr. 2005-18-01 16.2. punkts</w:t>
      </w:r>
      <w:r w:rsidRPr="00F80CD9">
        <w:rPr>
          <w:rFonts w:ascii="Times New Roman" w:eastAsia="Calibri" w:hAnsi="Times New Roman" w:cs="Times New Roman"/>
          <w:bCs/>
          <w:iCs/>
          <w:sz w:val="24"/>
          <w:szCs w:val="24"/>
        </w:rPr>
        <w:t xml:space="preserve">). </w:t>
      </w:r>
    </w:p>
    <w:p w14:paraId="0EBC8B16" w14:textId="77777777" w:rsidR="00F80CD9" w:rsidRPr="00F80CD9" w:rsidRDefault="00F80CD9" w:rsidP="00F80CD9">
      <w:pPr>
        <w:spacing w:before="200" w:after="0" w:line="240" w:lineRule="auto"/>
        <w:jc w:val="both"/>
        <w:rPr>
          <w:rFonts w:ascii="Times New Roman" w:eastAsia="Calibri" w:hAnsi="Times New Roman" w:cs="Times New Roman"/>
          <w:bCs/>
          <w:iCs/>
          <w:sz w:val="24"/>
          <w:szCs w:val="24"/>
        </w:rPr>
      </w:pPr>
      <w:r w:rsidRPr="00F80CD9">
        <w:rPr>
          <w:rFonts w:ascii="Times New Roman" w:eastAsia="Calibri" w:hAnsi="Times New Roman" w:cs="Times New Roman"/>
          <w:bCs/>
          <w:iCs/>
          <w:sz w:val="24"/>
          <w:szCs w:val="24"/>
        </w:rPr>
        <w:t>OCTA likums paredz, ka LTAB kompensācijas par zaudējumiem izmaksā principā pēc tādiem pašiem kritērijiem kā apdrošinātāji. Ņemot vērā, ka LTAB, aprēķinot un izmaksājot atlīdzības, būtībā iestājās apdrošinātājā vietā attiecībās ar kreditoriem, šādām darbībām ir civiltiesisks raksturs. No Satversmes tiesas judikatūras izriet, ka, vērtējot tādu lēmumu tiesiskumu, kuri rada civiltiesiskas sekas, tiesai ir jāvērtē civiltiesiski jautājumi un jābūt kompetentai tajos (</w:t>
      </w:r>
      <w:r w:rsidRPr="00F80CD9">
        <w:rPr>
          <w:rFonts w:ascii="Times New Roman" w:eastAsia="Calibri" w:hAnsi="Times New Roman" w:cs="Times New Roman"/>
          <w:bCs/>
          <w:i/>
          <w:sz w:val="24"/>
          <w:szCs w:val="24"/>
        </w:rPr>
        <w:t>Satversmes tiesas 2006. gada 14. marta sprieduma lietā Nr. 2005-18-01 16.3. punkts</w:t>
      </w:r>
      <w:r w:rsidRPr="00F80CD9">
        <w:rPr>
          <w:rFonts w:ascii="Times New Roman" w:eastAsia="Calibri" w:hAnsi="Times New Roman" w:cs="Times New Roman"/>
          <w:bCs/>
          <w:iCs/>
          <w:sz w:val="24"/>
          <w:szCs w:val="24"/>
        </w:rPr>
        <w:t>). Līdz ar to ir apšaubāms, vai Likumprojekta piedāvātais risinājums, ka tādu lēmumu, kuri rada civiltiesiskas sekas, tiesiskumu izvērtē administratīvās tiesas, atbilst tiesību uz taisnīgu tiesu būtībai un ļauj izskatīt lietu pēc iespējas atbilstoši un efektīvi.</w:t>
      </w:r>
    </w:p>
    <w:p w14:paraId="72307C98"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Cs/>
          <w:iCs/>
          <w:sz w:val="24"/>
          <w:szCs w:val="24"/>
        </w:rPr>
        <w:t>Papildus būtu jāņem vērā, ka likumdevējam, izstrādājot normatīvos aktus, pēc iespējas jānovērš iespēja vienu un to pašu jautājumu skatīt divos dažādos procesos (</w:t>
      </w:r>
      <w:r w:rsidRPr="00F80CD9">
        <w:rPr>
          <w:rFonts w:ascii="Times New Roman" w:eastAsia="Calibri" w:hAnsi="Times New Roman" w:cs="Times New Roman"/>
          <w:i/>
          <w:iCs/>
          <w:sz w:val="24"/>
          <w:szCs w:val="24"/>
        </w:rPr>
        <w:t>Danovskis E. Publisko un privāto tiesību dalījuma nozīme un piemērošanas problēmas Latvijā. Rīga: Latvijas Vēstnesis, 2015, 180.-181.lpp.</w:t>
      </w:r>
      <w:r w:rsidRPr="00F80CD9">
        <w:rPr>
          <w:rFonts w:ascii="Times New Roman" w:eastAsia="Calibri" w:hAnsi="Times New Roman" w:cs="Times New Roman"/>
          <w:sz w:val="24"/>
          <w:szCs w:val="24"/>
        </w:rPr>
        <w:t>). Ar Likumprojektu piedāvātais risinājums nozīmētu, ka vienus un tos pašus jautājumus, proti, zaudējumu atlīdzības aprēķināšanas un izmaksāšanas pamatotību, vērtētu divos dažādos procesos – civilprocesa kārtībā jautājumos par atlīdzības izmaksāšanu no Garantiju fonda un atlīdzību, ko izmaksā apdrošinātāji, un administratīvā procesa kārtībā jautājumus par atlīdzības izmaksāšanu, kas tiek veikta zaļo karšu sistēmās nacionālā biroja pienākumu izpildes ietvaros. Jāņem vērā, ka Senāta Civillietu departamentam ir izveidota plaša un stabila judikatūra OCTA jautājumos. Tādēļ ar Likumprojektu piedāvātais risinājums varētu radīt situāciju, kur dažādos procesos tiek radītas pretrunīgas judikatūras atziņas.</w:t>
      </w:r>
    </w:p>
    <w:p w14:paraId="4928B680"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rPr>
      </w:pPr>
      <w:r w:rsidRPr="00F80CD9">
        <w:rPr>
          <w:rFonts w:ascii="Times New Roman" w:eastAsia="Calibri" w:hAnsi="Times New Roman" w:cs="Times New Roman"/>
          <w:b/>
          <w:bCs/>
          <w:sz w:val="24"/>
          <w:szCs w:val="24"/>
        </w:rPr>
        <w:t>Ņemot vērā iepriekš minēto, lēmumu, kas pieņemti,</w:t>
      </w:r>
      <w:r w:rsidRPr="00F80CD9">
        <w:rPr>
          <w:rFonts w:ascii="Times New Roman" w:eastAsia="Calibri" w:hAnsi="Times New Roman" w:cs="Times New Roman"/>
          <w:sz w:val="24"/>
          <w:szCs w:val="24"/>
        </w:rPr>
        <w:t xml:space="preserve"> </w:t>
      </w:r>
      <w:r w:rsidRPr="00F80CD9">
        <w:rPr>
          <w:rFonts w:ascii="Times New Roman" w:eastAsia="Calibri" w:hAnsi="Times New Roman" w:cs="Times New Roman"/>
          <w:b/>
          <w:bCs/>
          <w:sz w:val="24"/>
          <w:szCs w:val="24"/>
        </w:rPr>
        <w:t>pildot zaļās kartes biroja pienākumus, nodošana izskatīšanai administratīvajām tiesām, varētu nonākt pretrunā tiesību uz taisnīgu tiesu būtībai.</w:t>
      </w:r>
    </w:p>
    <w:p w14:paraId="39EE19E7"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[4] </w:t>
      </w:r>
      <w:r w:rsidRPr="00F80CD9">
        <w:rPr>
          <w:rFonts w:ascii="Times New Roman" w:eastAsia="Calibri" w:hAnsi="Times New Roman" w:cs="Times New Roman"/>
          <w:sz w:val="24"/>
          <w:szCs w:val="24"/>
        </w:rPr>
        <w:t>Saistībā ar LTAB lēmumu apstrīdēšanu, rodas bažas arī par citu LTAB uzdevumu ietvaros pieņemtu lēmumu pārsūdzēšanu administratīvajās tiesās. Likumprojekta anotācijā ir norādīts, ka, ņemot vērā OCTA likuma 39. panta sestajā daļā noteikto, strīdi, kas saistīti ar 44. panta otrās daļas 1. un 2. punktā deleģēto uzdevumu, izskatāmi Civilprocesa likuma kārtībā. Taču OCTA likuma 39. panta sestā daļa tiešā veidā neparedz, ka strīdi saistībā ar LTAB lēmumiem par atlīdzību izmaksu vai atteikumu izskatāmi Civilprocesa likuma noteiktajā kārtībā. Šāds regulējums nav ietverts arī citās OCTA likuma normās.</w:t>
      </w:r>
    </w:p>
    <w:p w14:paraId="7E647EBE"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lastRenderedPageBreak/>
        <w:t>Ņemot vērā ar Likumprojektu paredzētos grozījumus, tajā skaitā LTAB funkciju tiesiskās dabas maiņu (no privāttiesiskām uz publiski tiesiskām), bez tiešā veidā noteiktām strīdu izskatīšanas kompetences robežām, varētu rasties situācija, ka pilnīgi visu LTAB lēmumu tiesiskuma izvērtēšana ir pakļauta administratīvajām tiesām.</w:t>
      </w:r>
    </w:p>
    <w:p w14:paraId="705F3854"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[5] </w:t>
      </w:r>
      <w:r w:rsidRPr="00F80CD9">
        <w:rPr>
          <w:rFonts w:ascii="Times New Roman" w:eastAsia="Calibri" w:hAnsi="Times New Roman" w:cs="Times New Roman"/>
          <w:sz w:val="24"/>
          <w:szCs w:val="24"/>
        </w:rPr>
        <w:t>Līdz šim Finanšu ministrija ir pildījusi OCTA regulējuma politikas veidošanas funkcijas. Taču Finanšu ministrija nav veikusi un nav bijusi tiešā veidā iesaistīta LTAB pienākumu izpildē, tajā skaitā lēmumu pieņemšanā par atlīdzību aprēķināšanu un izmaksāšanu. Šādi lēmumi rada civiltiesiskas sekas. Ja minētās funkcijas uzskata par deleģētu pārvaldes uzdevumu, jāsecina, ka Finanšu ministrijai jābūt spējām un resursiem pašai administrēt visus jautājumus, ko veic LTAB. Šāda konstrukcija būtu apšaubāma, ņemot vērā jebkuras ministrijas kā politikas veidotāja kapacitāti jautājumos, kas paredzētu vērtēt kompensācijas izmaksāšanu un informācijas sniegšanu.</w:t>
      </w:r>
    </w:p>
    <w:p w14:paraId="1000F1B8" w14:textId="77777777" w:rsidR="00F80CD9" w:rsidRPr="00F80CD9" w:rsidRDefault="00F80CD9" w:rsidP="00F80CD9">
      <w:pPr>
        <w:spacing w:before="200" w:after="0" w:line="240" w:lineRule="auto"/>
        <w:jc w:val="both"/>
        <w:rPr>
          <w:rFonts w:ascii="Times New Roman" w:eastAsia="Calibri" w:hAnsi="Times New Roman" w:cs="Times New Roman"/>
          <w:sz w:val="24"/>
          <w:szCs w:val="24"/>
          <w:u w:val="single"/>
        </w:rPr>
      </w:pPr>
      <w:r w:rsidRPr="00F80CD9">
        <w:rPr>
          <w:rFonts w:ascii="Times New Roman" w:eastAsia="Calibri" w:hAnsi="Times New Roman" w:cs="Times New Roman"/>
          <w:b/>
          <w:bCs/>
          <w:sz w:val="24"/>
          <w:szCs w:val="24"/>
          <w:u w:val="single"/>
        </w:rPr>
        <w:softHyphen/>
        <w:t>NO IEBILDUMIEM IZRIETOŠIE IETEIKUMI</w:t>
      </w:r>
    </w:p>
    <w:p w14:paraId="0F45D56C"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[1] </w:t>
      </w:r>
      <w:r w:rsidRPr="00F80CD9">
        <w:rPr>
          <w:rFonts w:ascii="Times New Roman" w:eastAsia="Calibri" w:hAnsi="Times New Roman" w:cs="Times New Roman"/>
          <w:sz w:val="24"/>
          <w:szCs w:val="24"/>
        </w:rPr>
        <w:t>Ievērojot iepriekš minētos iebildumus, LTAB rosina izslēgt no Likumprojekta normu, kas paredz papildināt OCTA likuma 44. pantu ar 2.</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sz w:val="24"/>
          <w:szCs w:val="24"/>
        </w:rPr>
        <w:t xml:space="preserve"> daļu. </w:t>
      </w:r>
    </w:p>
    <w:p w14:paraId="05193ED8"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LTAB ieskatā, administratīvo tiesu kompetenci vērtēt lēmumu tiesiskumu, kas pieņemti ekspertu sertificēšanas procesā, varētu noteikt, papildinot OCTA likuma 37. pantu (sk. I. daļas ieteikumus).</w:t>
      </w:r>
    </w:p>
    <w:p w14:paraId="348C9732"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[2] </w:t>
      </w:r>
      <w:r w:rsidRPr="00F80CD9">
        <w:rPr>
          <w:rFonts w:ascii="Times New Roman" w:eastAsia="Calibri" w:hAnsi="Times New Roman" w:cs="Times New Roman"/>
          <w:sz w:val="24"/>
          <w:szCs w:val="24"/>
        </w:rPr>
        <w:t xml:space="preserve">Kopumā LTAB piekrīt, ka šobrīd nepastāv efektīvs tiesību aizsardzības līdzeklis gadījumos, kad personām tiek atteikta OCTA likuma 50. pantā paredzētās informācijas izsniegšana. Tomēr LTAB ieskatā šādu lēmumu izskatīšana administratīvā procesa kārtība nav efektīvs tiesību aizsardzības līdzeklis. </w:t>
      </w:r>
    </w:p>
    <w:p w14:paraId="109131E2"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u w:val="single"/>
        </w:rPr>
        <w:t xml:space="preserve">Līdz ar to LTAB rosina Finanšu ministrijai kopā ar Tieslietu ministriju izskatīt alternatīvus strīdu risināšanas mehānismus, kas atbilstu Direktīvas 2009/103/EK prasībām un būtu uzskatāmi par efektīviem tiesību aizsardzības līdzekļiem. </w:t>
      </w:r>
      <w:r w:rsidRPr="00F80CD9">
        <w:rPr>
          <w:rFonts w:ascii="Times New Roman" w:eastAsia="Calibri" w:hAnsi="Times New Roman" w:cs="Times New Roman"/>
          <w:sz w:val="24"/>
          <w:szCs w:val="24"/>
        </w:rPr>
        <w:t xml:space="preserve">Iespējams, tam būtu nepieciešams papildu regulējums OCTA likumā, tomēr pakļaut personu divu procesuālo kārtību izmantošanai nebūtu lietderīgi. </w:t>
      </w:r>
    </w:p>
    <w:p w14:paraId="2D3360FA" w14:textId="77777777" w:rsidR="00F80CD9" w:rsidRPr="00F80CD9" w:rsidRDefault="00F80CD9" w:rsidP="00F80CD9">
      <w:pPr>
        <w:spacing w:before="200" w:after="0" w:line="240" w:lineRule="auto"/>
        <w:jc w:val="both"/>
        <w:rPr>
          <w:rFonts w:ascii="Times New Roman" w:eastAsia="Calibri" w:hAnsi="Times New Roman" w:cs="Times New Roman"/>
          <w:sz w:val="24"/>
          <w:szCs w:val="24"/>
          <w:u w:val="single"/>
        </w:rPr>
      </w:pPr>
    </w:p>
    <w:p w14:paraId="271C214D" w14:textId="77777777" w:rsidR="00F80CD9" w:rsidRPr="00F80CD9" w:rsidRDefault="00F80CD9" w:rsidP="00F80CD9">
      <w:pPr>
        <w:numPr>
          <w:ilvl w:val="0"/>
          <w:numId w:val="4"/>
        </w:numPr>
        <w:spacing w:before="200" w:after="0" w:line="240" w:lineRule="auto"/>
        <w:ind w:left="714" w:hanging="357"/>
        <w:jc w:val="center"/>
        <w:rPr>
          <w:rFonts w:ascii="Times New Roman" w:eastAsia="Calibri" w:hAnsi="Times New Roman" w:cs="Times New Roman"/>
          <w:b/>
          <w:bCs/>
          <w:sz w:val="28"/>
          <w:szCs w:val="28"/>
        </w:rPr>
      </w:pPr>
      <w:r w:rsidRPr="00F80CD9">
        <w:rPr>
          <w:rFonts w:ascii="Times New Roman" w:eastAsia="Calibri" w:hAnsi="Times New Roman" w:cs="Times New Roman"/>
          <w:b/>
          <w:bCs/>
          <w:sz w:val="28"/>
          <w:szCs w:val="28"/>
        </w:rPr>
        <w:t>Deleģēto pārvaldes uzdevumu izpildes nodošana apdrošinātājiem</w:t>
      </w:r>
    </w:p>
    <w:p w14:paraId="7D364F93"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Likumprojekta 2. pants paredz izteikt OCTA likuma 43. pantu jaunā redakcijā. Atbilstoši Likumprojektam jaunā OCTA likuma 43. panta sestās daļas redakcija paredzētu:</w:t>
      </w:r>
    </w:p>
    <w:p w14:paraId="2797BAFB" w14:textId="77777777" w:rsidR="00F80CD9" w:rsidRPr="00F80CD9" w:rsidRDefault="00F80CD9" w:rsidP="00F80CD9">
      <w:pPr>
        <w:spacing w:before="200" w:after="0" w:line="240" w:lineRule="auto"/>
        <w:ind w:left="862" w:right="862"/>
        <w:jc w:val="both"/>
        <w:rPr>
          <w:rFonts w:ascii="Times New Roman" w:eastAsia="Calibri" w:hAnsi="Times New Roman" w:cs="Times New Roman"/>
          <w:i/>
          <w:iCs/>
          <w:sz w:val="24"/>
          <w:szCs w:val="24"/>
        </w:rPr>
      </w:pPr>
      <w:r w:rsidRPr="00F80CD9">
        <w:rPr>
          <w:rFonts w:ascii="Times New Roman" w:eastAsia="Calibri" w:hAnsi="Times New Roman" w:cs="Times New Roman"/>
          <w:i/>
          <w:iCs/>
          <w:sz w:val="24"/>
          <w:szCs w:val="24"/>
        </w:rPr>
        <w:t>“(6) Transportlīdzekļu apdrošinātāju birojs nevar nodot tam deleģēto valsts pārvaldes uzdevumu izpildi trešajām personām. Transportlīdzekļu apdrošinātāju birojam ir tiesības izmantot trešo personu pakalpojumus, ja šāda pakalpojuma izmantošana neapdraud vai nekavē Transportlīdzekļu apdrošinātāju birojam deleģēto valsts pārvaldes uzdevumu izpildi.”</w:t>
      </w:r>
    </w:p>
    <w:p w14:paraId="02ECFD56"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No Likumprojekta anotācijas izriet, ka šāda prasība ir iekļauta ar mērķi nodrošināt, lai attiecīgos deleģētos uzdevumus veiktu tieši tā persona (proti, LTAB), kurai tie ir uzdoti.</w:t>
      </w:r>
    </w:p>
    <w:p w14:paraId="58BF9106"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u w:val="single"/>
        </w:rPr>
        <w:t>IEBILDUMI</w:t>
      </w:r>
    </w:p>
    <w:p w14:paraId="482B89A5"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[1] </w:t>
      </w:r>
      <w:r w:rsidRPr="00F80CD9">
        <w:rPr>
          <w:rFonts w:ascii="Times New Roman" w:eastAsia="Calibri" w:hAnsi="Times New Roman" w:cs="Times New Roman"/>
          <w:sz w:val="24"/>
          <w:szCs w:val="24"/>
        </w:rPr>
        <w:t xml:space="preserve">Atbilstoši LTAB metodikai “Ceļu satiksmes negadījumā personai nodarīto zaudējumu atlīdzināšana” atlīdzību lietu, kuras ir LTAB kompetencē, administrēšana notiek saskaņā ar starp </w:t>
      </w:r>
      <w:r w:rsidRPr="00F80CD9">
        <w:rPr>
          <w:rFonts w:ascii="Times New Roman" w:eastAsia="Calibri" w:hAnsi="Times New Roman" w:cs="Times New Roman"/>
          <w:sz w:val="24"/>
          <w:szCs w:val="24"/>
        </w:rPr>
        <w:lastRenderedPageBreak/>
        <w:t xml:space="preserve">LTAB un apdrošinātājiem (LTAB biedriem) noslēgto līgumu. Proti, lai arī faktiski lēmumu par atlīdzības izmaksāšanu no Garantiju fonda pieņem LTAB, atlīdzības aprēķināšanas un izmaksāšanas lietas administrē apdrošinātāji. Tas visupirms ir svarīgi pašiem klientiem, jo viņiem ir pieejams plašas iespējas pieteikt atlīdzību, kā arī LTAB nav jāuztur personāls un filiāles, lai sniegtu šo pakalpojumu. </w:t>
      </w:r>
    </w:p>
    <w:p w14:paraId="494C5017"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Ievērojot, ka apdrošināšanas atlīdzības aprēķins un izmaksāšana pēc būtības ir civiltiesiskas darbības un tieši apdrošinātājiem ir vislielākā profesionālā pieredze un kapacitāte šādu lietu administrēšanā, iepriekš minētā sistēma nodrošina efektīvu un profesionālu LTAB pienākumu izpildi. Vienlaicīgi šāda sistēma neapdraud LTAB neatkarību, jo gala lēmumu nepieņem un par to neatbild apdrošinātāji, bet gan LTAB.</w:t>
      </w:r>
    </w:p>
    <w:p w14:paraId="0FA95155"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No Likumprojekta 2. pantā piedāvātas OCTA likuma 43. panta sestās daļas redakcijas un anotācija ietvertā skaidrojuma nav saprotams, vai Likumprojekta mērķis ir aizliegt atlīdzības lietu administrēšanas nodošanu apdrošinātājiem. Tādēļ šobrīd uzskatāms, ka minētā norma neatbilst labas likumdošanas principam, jo tā nav pietiekami skaidri formulēta, lai personas varētu izprast no tās izrietošo tiesību un pienākumu saturu un paredzēt tās piemērošanas sekas (</w:t>
      </w:r>
      <w:r w:rsidRPr="00F80CD9">
        <w:rPr>
          <w:rFonts w:ascii="Times New Roman" w:eastAsia="Calibri" w:hAnsi="Times New Roman" w:cs="Times New Roman"/>
          <w:i/>
          <w:iCs/>
          <w:sz w:val="24"/>
          <w:szCs w:val="24"/>
        </w:rPr>
        <w:t>sk., piemēram, Satversmes tiesas 2019. gada 6. marta sprieduma lietā Nr. 2018-11-01 17. punktu</w:t>
      </w:r>
      <w:r w:rsidRPr="00F80CD9">
        <w:rPr>
          <w:rFonts w:ascii="Times New Roman" w:eastAsia="Calibri" w:hAnsi="Times New Roman" w:cs="Times New Roman"/>
          <w:sz w:val="24"/>
          <w:szCs w:val="24"/>
        </w:rPr>
        <w:t>).</w:t>
      </w:r>
    </w:p>
    <w:p w14:paraId="6DA1EE96"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Ja atlīdzības lietu administrēšana ir deleģēts pārvaldes uzdevums, tad deleģēto parasti nedrīkst pārdeleģēt. Apdrošinātāji šajā procesā nav trešās personas, kas sniedz maksas pakalpojumus LTAB. </w:t>
      </w:r>
    </w:p>
    <w:p w14:paraId="784ADFFB"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LTAB vērš uzmanību, ka, ja turpmāk LTAB nevarēs izmantot apdrošinātājus atlīdzību lietu administrēšanā, tehnisko darbību veikšanai, ko līdz šim ir veikuši apdrošinātāji, LTAB būs nepieciešams ievērojams papildu finansējums. LTAB konstatē, ka nepieciešamā papildu finansējuma un LTAB kapacitātes stiprināšanas jautājumi Likumprojekta anotācijā nav vērtēti.</w:t>
      </w:r>
    </w:p>
    <w:p w14:paraId="6B7FAB2C"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[2] </w:t>
      </w:r>
      <w:r w:rsidRPr="00F80CD9">
        <w:rPr>
          <w:rFonts w:ascii="Times New Roman" w:eastAsia="Calibri" w:hAnsi="Times New Roman" w:cs="Times New Roman"/>
          <w:sz w:val="24"/>
          <w:szCs w:val="24"/>
        </w:rPr>
        <w:t>Neskaidrības varētu rasties arī attiecībā uz Garantijas fonda administrēšanu. Atbilstoši OCTA likuma 51.</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sz w:val="24"/>
          <w:szCs w:val="24"/>
        </w:rPr>
        <w:t xml:space="preserve"> panta otrajai daļai, Garantijas fonda līdzekļu ieguldīšanu un pārvaldi LTAB ir nodevis ieguldījumu pārvaldes sabiedrībai. LTAB ieskatā Likumprojekta 3. pantā paredzētā OCTA likuma 43. panta sestā daļa nav pietiekami skaidra arī attiecībā uz Garantijas fonda līdzekļu ieguldīšanas un pārvaldes funkciju nodošanu trešajām personām. Arī Likumprojekta anotācijā šis jautājums nav atrunāts.</w:t>
      </w:r>
    </w:p>
    <w:p w14:paraId="1BD6B517"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u w:val="single"/>
        </w:rPr>
      </w:pPr>
      <w:r w:rsidRPr="00F80CD9">
        <w:rPr>
          <w:rFonts w:ascii="Times New Roman" w:eastAsia="Calibri" w:hAnsi="Times New Roman" w:cs="Times New Roman"/>
          <w:b/>
          <w:bCs/>
          <w:sz w:val="24"/>
          <w:szCs w:val="24"/>
          <w:u w:val="single"/>
        </w:rPr>
        <w:t>NO IEBILDUMIEM IZRIETOŠIE IETEIKUMI</w:t>
      </w:r>
    </w:p>
    <w:p w14:paraId="16EE01CF"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Ņemot vērā iepriekš minēto, LTAB rosina izslēgt no Likumprojekta normu, kas paredz ierobežojumus LTAB nodot deleģēto pārvaldes uzdevumu administrēšanu LTAB biedriem – apdrošinātājiem.</w:t>
      </w:r>
    </w:p>
    <w:p w14:paraId="43C81C7E"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Ja Likumprojekta mērķis nav ierobežot LTAB tiesības nodot atlīdzību lietu administrēšanu apdrošinātājiem, kas primāri ir klientu interesēs, LTAB rosina precizēt jauno OCTA likuma 43. panta sesto daļu tā, lai no minētās normas būtu nepārprotami skaidrs, ka atlīdzību lietu administrēšanas nodošana apdrošinātājiem nav aizliegta.</w:t>
      </w:r>
    </w:p>
    <w:p w14:paraId="6EF9F3C0"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LTAB rosina precizēt OCTA likuma 43. panta sesto daļu (vai Likumprojekta anotāciju) arī attiecībā uz Garantijas fonda līdzekļu ieguldīšanas un pārvaldes pakalpojumu izmantošanu. Proti, ka tā nav uzskatāma par pārvaldes lēmuma sagatavošanu, bet gan ir pakalpojums, ko iepērk. </w:t>
      </w:r>
    </w:p>
    <w:p w14:paraId="0608EEC3"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p>
    <w:p w14:paraId="1FBC526F" w14:textId="77777777" w:rsidR="00F80CD9" w:rsidRPr="00F80CD9" w:rsidRDefault="00F80CD9" w:rsidP="00F80CD9">
      <w:pPr>
        <w:numPr>
          <w:ilvl w:val="0"/>
          <w:numId w:val="4"/>
        </w:numPr>
        <w:spacing w:before="200" w:after="0" w:line="240" w:lineRule="auto"/>
        <w:ind w:left="714" w:hanging="357"/>
        <w:jc w:val="center"/>
        <w:rPr>
          <w:rFonts w:ascii="Times New Roman" w:eastAsia="Calibri" w:hAnsi="Times New Roman" w:cs="Times New Roman"/>
          <w:b/>
          <w:bCs/>
          <w:sz w:val="28"/>
          <w:szCs w:val="28"/>
        </w:rPr>
      </w:pPr>
      <w:r w:rsidRPr="00F80CD9">
        <w:rPr>
          <w:rFonts w:ascii="Times New Roman" w:eastAsia="Calibri" w:hAnsi="Times New Roman" w:cs="Times New Roman"/>
          <w:b/>
          <w:bCs/>
          <w:sz w:val="28"/>
          <w:szCs w:val="28"/>
        </w:rPr>
        <w:lastRenderedPageBreak/>
        <w:t>LTAB padotība Finanšu ministrijai</w:t>
      </w:r>
    </w:p>
    <w:p w14:paraId="16B32A84"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Likumprojekta 4. pants paredz papildināt OCTA likumu ar 44.</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sz w:val="24"/>
          <w:szCs w:val="24"/>
        </w:rPr>
        <w:t xml:space="preserve"> pantu šādā redakcijā:</w:t>
      </w:r>
    </w:p>
    <w:p w14:paraId="7272DAA6" w14:textId="77777777" w:rsidR="00F80CD9" w:rsidRPr="00F80CD9" w:rsidRDefault="00F80CD9" w:rsidP="00F80CD9">
      <w:pPr>
        <w:spacing w:before="200" w:after="0" w:line="240" w:lineRule="auto"/>
        <w:ind w:left="862" w:right="862"/>
        <w:jc w:val="both"/>
        <w:rPr>
          <w:rFonts w:ascii="Times New Roman" w:eastAsia="Calibri" w:hAnsi="Times New Roman" w:cs="Times New Roman"/>
          <w:i/>
          <w:iCs/>
          <w:sz w:val="24"/>
          <w:szCs w:val="24"/>
        </w:rPr>
      </w:pPr>
      <w:r w:rsidRPr="00F80CD9">
        <w:rPr>
          <w:rFonts w:ascii="Times New Roman" w:eastAsia="Calibri" w:hAnsi="Times New Roman" w:cs="Times New Roman"/>
          <w:i/>
          <w:iCs/>
          <w:sz w:val="24"/>
          <w:szCs w:val="24"/>
        </w:rPr>
        <w:t>“</w:t>
      </w:r>
      <w:r w:rsidRPr="00F80CD9">
        <w:rPr>
          <w:rFonts w:ascii="Times New Roman" w:eastAsia="Calibri" w:hAnsi="Times New Roman" w:cs="Times New Roman"/>
          <w:b/>
          <w:i/>
          <w:iCs/>
          <w:sz w:val="24"/>
          <w:szCs w:val="24"/>
        </w:rPr>
        <w:t>44.</w:t>
      </w:r>
      <w:r w:rsidRPr="00F80CD9">
        <w:rPr>
          <w:rFonts w:ascii="Times New Roman" w:eastAsia="Calibri" w:hAnsi="Times New Roman" w:cs="Times New Roman"/>
          <w:b/>
          <w:i/>
          <w:iCs/>
          <w:sz w:val="24"/>
          <w:szCs w:val="24"/>
          <w:vertAlign w:val="superscript"/>
        </w:rPr>
        <w:t>1</w:t>
      </w:r>
      <w:r w:rsidRPr="00F80CD9">
        <w:rPr>
          <w:rFonts w:ascii="Times New Roman" w:eastAsia="Calibri" w:hAnsi="Times New Roman" w:cs="Times New Roman"/>
          <w:b/>
          <w:i/>
          <w:iCs/>
          <w:sz w:val="24"/>
          <w:szCs w:val="24"/>
        </w:rPr>
        <w:t xml:space="preserve"> pants. Transportlīdzekļu</w:t>
      </w:r>
      <w:r w:rsidRPr="00F80CD9">
        <w:rPr>
          <w:rFonts w:ascii="Times New Roman" w:eastAsia="Calibri" w:hAnsi="Times New Roman" w:cs="Times New Roman"/>
          <w:i/>
          <w:iCs/>
          <w:sz w:val="24"/>
          <w:szCs w:val="24"/>
        </w:rPr>
        <w:t xml:space="preserve"> </w:t>
      </w:r>
      <w:r w:rsidRPr="00F80CD9">
        <w:rPr>
          <w:rFonts w:ascii="Times New Roman" w:eastAsia="Calibri" w:hAnsi="Times New Roman" w:cs="Times New Roman"/>
          <w:b/>
          <w:bCs/>
          <w:i/>
          <w:iCs/>
          <w:sz w:val="24"/>
          <w:szCs w:val="24"/>
        </w:rPr>
        <w:t>apdrošinātāju</w:t>
      </w:r>
      <w:r w:rsidRPr="00F80CD9">
        <w:rPr>
          <w:rFonts w:ascii="Times New Roman" w:eastAsia="Calibri" w:hAnsi="Times New Roman" w:cs="Times New Roman"/>
          <w:b/>
          <w:i/>
          <w:iCs/>
          <w:sz w:val="24"/>
          <w:szCs w:val="24"/>
        </w:rPr>
        <w:t xml:space="preserve"> biroja pārraudzības institūcija</w:t>
      </w:r>
    </w:p>
    <w:p w14:paraId="3B3B0432" w14:textId="77777777" w:rsidR="00F80CD9" w:rsidRPr="00F80CD9" w:rsidRDefault="00F80CD9" w:rsidP="00F80CD9">
      <w:pPr>
        <w:spacing w:before="200" w:after="0" w:line="240" w:lineRule="auto"/>
        <w:ind w:left="862" w:right="862"/>
        <w:jc w:val="both"/>
        <w:rPr>
          <w:rFonts w:ascii="Times New Roman" w:eastAsia="Calibri" w:hAnsi="Times New Roman" w:cs="Times New Roman"/>
          <w:i/>
          <w:iCs/>
          <w:sz w:val="24"/>
          <w:szCs w:val="24"/>
        </w:rPr>
      </w:pPr>
      <w:r w:rsidRPr="00F80CD9">
        <w:rPr>
          <w:rFonts w:ascii="Times New Roman" w:eastAsia="Calibri" w:hAnsi="Times New Roman" w:cs="Times New Roman"/>
          <w:i/>
          <w:iCs/>
          <w:sz w:val="24"/>
          <w:szCs w:val="24"/>
        </w:rPr>
        <w:t>(1) Jautājumos, kas saistīti ar šajā likumā Transportlīdzekļu apdrošinātāju birojam deleģētajiem valsts pārvaldes uzdevumiem, Transportlīdzekļu apdrošinātāju birojs atrodas Finanšu ministrijas pārraudzībā. Transportlīdzekļu apdrošinātāju biroja iekšējos tiesību aktus, kas reglamentē šajā likumā Transportlīdzekļu apdrošinātāju birojam deleģēto valsts pārvaldes uzdevumu izpildi, Transportlīdzekļu apdrošinātāju birojs apstiprina pēc saskaņošanas ar Finanšu ministriju.</w:t>
      </w:r>
    </w:p>
    <w:p w14:paraId="621CCF99" w14:textId="77777777" w:rsidR="00F80CD9" w:rsidRPr="00F80CD9" w:rsidRDefault="00F80CD9" w:rsidP="00F80CD9">
      <w:pPr>
        <w:spacing w:before="200" w:after="0" w:line="240" w:lineRule="auto"/>
        <w:ind w:left="862" w:right="862"/>
        <w:jc w:val="both"/>
        <w:rPr>
          <w:rFonts w:ascii="Times New Roman" w:eastAsia="Calibri" w:hAnsi="Times New Roman" w:cs="Times New Roman"/>
          <w:i/>
          <w:iCs/>
          <w:sz w:val="24"/>
          <w:szCs w:val="24"/>
        </w:rPr>
      </w:pPr>
      <w:r w:rsidRPr="00F80CD9">
        <w:rPr>
          <w:rFonts w:ascii="Times New Roman" w:eastAsia="Calibri" w:hAnsi="Times New Roman" w:cs="Times New Roman"/>
          <w:i/>
          <w:iCs/>
          <w:sz w:val="24"/>
          <w:szCs w:val="24"/>
        </w:rPr>
        <w:t>(2) Finanšu ministrijas pilnvarotais pārstāvis, kas īsteno Transportlīdzekļu apdrošinātāju biroja pārraudzību, ir tiesīgs piedalīties Transportlīdzekļu apdrošinātāju biroja kopsapulcē un Garantijas fonda padomes sēdē, kā arī iepazīties ar Transportlīdzekļu apdrošinātāju biroja kopsapulcē un Garantijas fonda padomes sēdē pieņemtajiem lēmumiem. Transportlīdzekļu apdrošinātāju birojam ir pienākums paziņot Finanšu ministrijai par kopsapulces un Garantijas fonda padomes sēdes sasaukšanu ne vēlāk kā trīs darba dienas pirms attiecīgās kopsapulces vai Garantijas fonda padomes sēdes, kā arī rakstveidā informēt Finanšu ministriju par Transportlīdzekļu apdrošinātāju biroja kopsapulcē vai Garantijas fonda padomes sēdē pieņemtajiem lēmumiem.</w:t>
      </w:r>
    </w:p>
    <w:p w14:paraId="06550DD5" w14:textId="77777777" w:rsidR="00F80CD9" w:rsidRPr="00F80CD9" w:rsidRDefault="00F80CD9" w:rsidP="00F80CD9">
      <w:pPr>
        <w:spacing w:before="200" w:after="0" w:line="240" w:lineRule="auto"/>
        <w:ind w:left="862" w:right="862"/>
        <w:jc w:val="both"/>
        <w:rPr>
          <w:rFonts w:ascii="Times New Roman" w:eastAsia="Calibri" w:hAnsi="Times New Roman" w:cs="Times New Roman"/>
          <w:i/>
          <w:iCs/>
          <w:sz w:val="24"/>
          <w:szCs w:val="24"/>
        </w:rPr>
      </w:pPr>
      <w:r w:rsidRPr="00F80CD9">
        <w:rPr>
          <w:rFonts w:ascii="Times New Roman" w:eastAsia="Calibri" w:hAnsi="Times New Roman" w:cs="Times New Roman"/>
          <w:i/>
          <w:iCs/>
          <w:sz w:val="24"/>
          <w:szCs w:val="24"/>
        </w:rPr>
        <w:t>(3) Finanšu ministrijai ir tiesības pieprasīt no Transportlīdzekļu apdrošinātāju biroja informāciju, kas nepieciešama pārraudzības nodrošināšanai.”</w:t>
      </w:r>
    </w:p>
    <w:p w14:paraId="0800516A"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Likumprojekta 2. pants paredz izteikt OCTA likuma 43. pantu jaunā redakcijā, citastarp, 43. pantā ietverot trešo daļu, kas paredz:</w:t>
      </w:r>
    </w:p>
    <w:p w14:paraId="0F40095B" w14:textId="77777777" w:rsidR="00F80CD9" w:rsidRPr="00F80CD9" w:rsidRDefault="00F80CD9" w:rsidP="00F80CD9">
      <w:pPr>
        <w:spacing w:before="200" w:after="0" w:line="240" w:lineRule="auto"/>
        <w:ind w:left="862" w:right="862"/>
        <w:jc w:val="both"/>
        <w:rPr>
          <w:rFonts w:ascii="Times New Roman" w:eastAsia="Calibri" w:hAnsi="Times New Roman" w:cs="Times New Roman"/>
          <w:i/>
          <w:iCs/>
          <w:sz w:val="24"/>
          <w:szCs w:val="24"/>
        </w:rPr>
      </w:pPr>
      <w:r w:rsidRPr="00F80CD9">
        <w:rPr>
          <w:rFonts w:ascii="Times New Roman" w:eastAsia="Calibri" w:hAnsi="Times New Roman" w:cs="Times New Roman"/>
          <w:i/>
          <w:iCs/>
          <w:sz w:val="24"/>
          <w:szCs w:val="24"/>
        </w:rPr>
        <w:t>“(3) Transportlīdzekļu apdrošinātāju birojs statūtus un to grozījumus saskaņo ar Finanšu ministriju.”</w:t>
      </w:r>
    </w:p>
    <w:p w14:paraId="26B3A43A"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Likumprojekta 3. pants paredz papildināt OCTA likuma 44. pantu ar piekto daļu šādā redakcijā:</w:t>
      </w:r>
    </w:p>
    <w:p w14:paraId="54B01970" w14:textId="77777777" w:rsidR="00F80CD9" w:rsidRPr="00F80CD9" w:rsidRDefault="00F80CD9" w:rsidP="00F80CD9">
      <w:pPr>
        <w:spacing w:before="200" w:after="0" w:line="240" w:lineRule="auto"/>
        <w:ind w:left="862" w:right="862"/>
        <w:jc w:val="both"/>
        <w:rPr>
          <w:rFonts w:ascii="Times New Roman" w:eastAsia="Calibri" w:hAnsi="Times New Roman" w:cs="Times New Roman"/>
          <w:i/>
          <w:iCs/>
          <w:sz w:val="24"/>
          <w:szCs w:val="24"/>
        </w:rPr>
      </w:pPr>
      <w:r w:rsidRPr="00F80CD9">
        <w:rPr>
          <w:rFonts w:ascii="Times New Roman" w:eastAsia="Calibri" w:hAnsi="Times New Roman" w:cs="Times New Roman"/>
          <w:i/>
          <w:iCs/>
          <w:sz w:val="24"/>
          <w:szCs w:val="24"/>
        </w:rPr>
        <w:t>“(5) Transportlīdzekļu apdrošinātāju birojs reizi ceturksnī iesniedz Finanšu ministrijai informāciju par Transportlīdzekļu apdrošinātāju birojam deleģēto valsts pārvaldes uzdevumu izpildi.”</w:t>
      </w:r>
    </w:p>
    <w:p w14:paraId="02CCCBC3"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u w:val="single"/>
        </w:rPr>
        <w:t>IEBILDUMI</w:t>
      </w:r>
    </w:p>
    <w:p w14:paraId="05B1A4CD"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[1] </w:t>
      </w:r>
      <w:r w:rsidRPr="00F80CD9">
        <w:rPr>
          <w:rFonts w:ascii="Times New Roman" w:eastAsia="Calibri" w:hAnsi="Times New Roman" w:cs="Times New Roman"/>
          <w:sz w:val="24"/>
          <w:szCs w:val="24"/>
        </w:rPr>
        <w:t>LTAB jau šī viedokļa I. daļā pamatoja, ka lielākajai daļai no LTAB uzdevumiem, kuri ar Likumprojektu tiktu pārveidoti par deleģētiem pārvaldes uzdevumiem, ir privāttiesiska daba un tie nevar tikt uzskatīti par pārvaldes uzdevumiem.</w:t>
      </w:r>
    </w:p>
    <w:p w14:paraId="0B0BFF5B"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Līdz ar to LTAB varētu atrasties Finanšu ministrijas pārraudzībā tikai attiecībā uz ekspertu sertificēšanas uzdevuma izpildi un, iespējams, OCTA likuma 50. pantā paredzētās informācijas sniegšanu, kas gan būtu atkarīgs no strīdu risināšanas mehānisma.</w:t>
      </w:r>
    </w:p>
    <w:p w14:paraId="664FF6FA" w14:textId="77777777" w:rsidR="00F80CD9" w:rsidRPr="00F80CD9" w:rsidRDefault="00F80CD9" w:rsidP="00F80CD9">
      <w:pPr>
        <w:spacing w:before="200" w:after="0" w:line="240" w:lineRule="auto"/>
        <w:jc w:val="both"/>
        <w:rPr>
          <w:rFonts w:ascii="Times New Roman" w:eastAsia="Calibri" w:hAnsi="Times New Roman" w:cs="Times New Roman"/>
          <w:sz w:val="24"/>
          <w:szCs w:val="24"/>
          <w:u w:val="single"/>
        </w:rPr>
      </w:pPr>
      <w:r w:rsidRPr="00F80CD9">
        <w:rPr>
          <w:rFonts w:ascii="Times New Roman" w:eastAsia="Calibri" w:hAnsi="Times New Roman" w:cs="Times New Roman"/>
          <w:b/>
          <w:bCs/>
          <w:sz w:val="24"/>
          <w:szCs w:val="24"/>
        </w:rPr>
        <w:t xml:space="preserve">[2] </w:t>
      </w:r>
      <w:r w:rsidRPr="00F80CD9">
        <w:rPr>
          <w:rFonts w:ascii="Times New Roman" w:eastAsia="Calibri" w:hAnsi="Times New Roman" w:cs="Times New Roman"/>
          <w:sz w:val="24"/>
          <w:szCs w:val="24"/>
        </w:rPr>
        <w:t xml:space="preserve">Šajā daļā uzskaitītie OCTA likuma grozījumi rada iespaidu, ka Likumprojekta mērķis ir </w:t>
      </w:r>
      <w:r w:rsidRPr="00F80CD9">
        <w:rPr>
          <w:rFonts w:ascii="Times New Roman" w:eastAsia="Calibri" w:hAnsi="Times New Roman" w:cs="Times New Roman"/>
          <w:sz w:val="24"/>
          <w:szCs w:val="24"/>
          <w:u w:val="single"/>
        </w:rPr>
        <w:t>pārveidot LTAB par valsts pārvaldes iestādi ne tikai funkcionāli, bet arī institucionāli</w:t>
      </w:r>
      <w:r w:rsidRPr="00F80CD9">
        <w:rPr>
          <w:rFonts w:ascii="Times New Roman" w:eastAsia="Calibri" w:hAnsi="Times New Roman" w:cs="Times New Roman"/>
          <w:sz w:val="24"/>
          <w:szCs w:val="24"/>
        </w:rPr>
        <w:t xml:space="preserve">. Ievērojot LTAB juridisko </w:t>
      </w:r>
      <w:r w:rsidRPr="00F80CD9">
        <w:rPr>
          <w:rFonts w:ascii="Times New Roman" w:eastAsia="Calibri" w:hAnsi="Times New Roman" w:cs="Times New Roman"/>
          <w:sz w:val="24"/>
          <w:szCs w:val="24"/>
        </w:rPr>
        <w:lastRenderedPageBreak/>
        <w:t xml:space="preserve">statusu, šāds mērķis nonāktu pretrunā ar Satversmes 102. pantu aizsargātajai biedrošanās brīvībai. </w:t>
      </w:r>
      <w:r w:rsidRPr="00F80CD9">
        <w:rPr>
          <w:rFonts w:ascii="Times New Roman" w:eastAsia="Calibri" w:hAnsi="Times New Roman" w:cs="Times New Roman"/>
          <w:sz w:val="24"/>
          <w:szCs w:val="24"/>
          <w:u w:val="single"/>
        </w:rPr>
        <w:t xml:space="preserve">Grozījumi būtiski pārsniedz Valsts pārvaldes iekārtas likumā noteikto par pārraudzību pār valsts deleģēto pārvaldes uzdevumu. </w:t>
      </w:r>
    </w:p>
    <w:p w14:paraId="24C2B6DB"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Biedrošanās brīvība ir būtiska privātpersonas privātuma sastāvdaļa. Satversmes 102. pants aizsargā ikviena tiesības apvienoties visdažādākajās brīvprātīgās un sociālās privāto tiesību personu grupās pašu brīvi izvēlētu un tiesisku mērķu sasniegšanai. Biedrošanās brīvība pamatā aizsargā indivīda personiskās brīvības jomu no valsts iejaukšanās (</w:t>
      </w:r>
      <w:r w:rsidRPr="00F80CD9">
        <w:rPr>
          <w:rFonts w:ascii="Times New Roman" w:eastAsia="Calibri" w:hAnsi="Times New Roman" w:cs="Times New Roman"/>
          <w:i/>
          <w:iCs/>
          <w:sz w:val="24"/>
          <w:szCs w:val="24"/>
        </w:rPr>
        <w:t>Neimanis J. Satversmes 102. panta komentāri. Grāmata: Latvijas Republikas Satversmes komentāri. VIII nodaļa. Cilvēka pamattiesības. Autoru kolektīvs prof. R. Baloža zinātniskā vadībā. – Rīga: Latvijas Vēstnesis, 2011, 404.lpp.</w:t>
      </w:r>
      <w:r w:rsidRPr="00F80CD9">
        <w:rPr>
          <w:rFonts w:ascii="Times New Roman" w:eastAsia="Calibri" w:hAnsi="Times New Roman" w:cs="Times New Roman"/>
          <w:sz w:val="24"/>
          <w:szCs w:val="24"/>
        </w:rPr>
        <w:t>).</w:t>
      </w:r>
    </w:p>
    <w:p w14:paraId="5CEDC0EE"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Brīvība apvienoties biedrībās nozīmē arī brīvību noteikt biedrības nosaukumu, statūtu noteikumus un pašnoteikties pār biedrības iekšējo organizatorisko darbību un struktūru. Valsts iejaukšanās un uzraudzība ir attaisnojama tikai Satversmes 116. pantā noteiktajos gadījumos (</w:t>
      </w:r>
      <w:r w:rsidRPr="00F80CD9">
        <w:rPr>
          <w:rFonts w:ascii="Times New Roman" w:eastAsia="Calibri" w:hAnsi="Times New Roman" w:cs="Times New Roman"/>
          <w:i/>
          <w:iCs/>
          <w:sz w:val="24"/>
          <w:szCs w:val="24"/>
        </w:rPr>
        <w:t>Neimanis J. Satversmes 102. panta komentāri. Grāmata: Latvijas Republikas Satversmes komentāri. VIII nodaļa. Cilvēka pamattiesības. Autoru kolektīvs prof. R. Baloža zinātniskā vadībā. – Rīga: Latvijas Vēstnesis, 2011, 408.lpp.</w:t>
      </w:r>
      <w:r w:rsidRPr="00F80CD9">
        <w:rPr>
          <w:rFonts w:ascii="Times New Roman" w:eastAsia="Calibri" w:hAnsi="Times New Roman" w:cs="Times New Roman"/>
          <w:sz w:val="24"/>
          <w:szCs w:val="24"/>
        </w:rPr>
        <w:t>).</w:t>
      </w:r>
    </w:p>
    <w:p w14:paraId="280F4E58"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Arī Biedrību un nodibinājumu likuma 2. panta pirmā daļa paredz, ka biedrība ir </w:t>
      </w:r>
      <w:r w:rsidRPr="00F80CD9">
        <w:rPr>
          <w:rFonts w:ascii="Times New Roman" w:eastAsia="Calibri" w:hAnsi="Times New Roman" w:cs="Times New Roman"/>
          <w:sz w:val="24"/>
          <w:szCs w:val="24"/>
          <w:u w:val="single"/>
        </w:rPr>
        <w:t>brīvprātīga personu apvienība</w:t>
      </w:r>
      <w:r w:rsidRPr="00F80CD9">
        <w:rPr>
          <w:rFonts w:ascii="Times New Roman" w:eastAsia="Calibri" w:hAnsi="Times New Roman" w:cs="Times New Roman"/>
          <w:sz w:val="24"/>
          <w:szCs w:val="24"/>
        </w:rPr>
        <w:t xml:space="preserve">, kas nodibināta, lai sasniegtu statūtos noteikto mērķi. LTAB kā biedrības privāttiesiskais raksturs un neatkarība izriet arī no Direktīvas 2009/103/EK 1. panta 3. punkta, kas paredz, ka valsts apdrošinātāju apvienība ir </w:t>
      </w:r>
      <w:r w:rsidRPr="00F80CD9">
        <w:rPr>
          <w:rFonts w:ascii="Times New Roman" w:eastAsia="Calibri" w:hAnsi="Times New Roman" w:cs="Times New Roman"/>
          <w:sz w:val="24"/>
          <w:szCs w:val="24"/>
          <w:u w:val="single"/>
        </w:rPr>
        <w:t>profesionāla organizācija</w:t>
      </w:r>
      <w:r w:rsidRPr="00F80CD9">
        <w:rPr>
          <w:rFonts w:ascii="Times New Roman" w:eastAsia="Calibri" w:hAnsi="Times New Roman" w:cs="Times New Roman"/>
          <w:sz w:val="24"/>
          <w:szCs w:val="24"/>
        </w:rPr>
        <w:t>, kas apvieno apdrošināšanas sabiedrības.</w:t>
      </w:r>
    </w:p>
    <w:p w14:paraId="6E3D3E50"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LTAB nekonstatē, ka Likumprojekta anotācijā būtu izvērtēta grozījumu ietekme uz Satversmes 102. pantā paredzētajām pamattiesībām. No Satversmes tiesas judikatūras izriet, ka biedrošanās brīvības ierobežošanas ir pieļaujama, ja ierobežojums ir: 1) noteikts ar likumu; 2) attaisnojams ar leģitīmu mērķi; 3) proporcionāls jeb samērīgs ar šo mērķi (</w:t>
      </w:r>
      <w:r w:rsidRPr="00F80CD9">
        <w:rPr>
          <w:rFonts w:ascii="Times New Roman" w:eastAsia="Calibri" w:hAnsi="Times New Roman" w:cs="Times New Roman"/>
          <w:i/>
          <w:iCs/>
          <w:sz w:val="24"/>
          <w:szCs w:val="24"/>
        </w:rPr>
        <w:t>Satversmes tiesas 2013. gada 10. maija sprieduma lietā Nr. 2012-16-01 25. punkts</w:t>
      </w:r>
      <w:r w:rsidRPr="00F80CD9">
        <w:rPr>
          <w:rFonts w:ascii="Times New Roman" w:eastAsia="Calibri" w:hAnsi="Times New Roman" w:cs="Times New Roman"/>
          <w:sz w:val="24"/>
          <w:szCs w:val="24"/>
        </w:rPr>
        <w:t xml:space="preserve">). </w:t>
      </w:r>
    </w:p>
    <w:p w14:paraId="3E8C73AE"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No Likumprojekta anotācijas izriet, ka grozījumi ir nepieciešami, lai uzlabotu LTAB pārraudzības jeb uzraudzības kārtību. Ņemot vērā, ka LTAB darbība ir pamatā ir saistīta ar privātpersonu (trešo personu, apdrošinātāju, transportlīdzekļu īpašnieku) tiesību un interešu nodrošināšanu, secināms, ka Satversmes 102. panta ierobežojumu leģitīmais mērķis ir citu cilvēku tiesību aizsardzība.</w:t>
      </w:r>
    </w:p>
    <w:p w14:paraId="2D3EB45A"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Lai izvērtētu pamattiesību ierobežojuma samērīgumu, jānoskaidro:</w:t>
      </w:r>
    </w:p>
    <w:p w14:paraId="5999A7E0" w14:textId="77777777" w:rsidR="00F80CD9" w:rsidRPr="00F80CD9" w:rsidRDefault="00F80CD9" w:rsidP="00F80CD9">
      <w:pPr>
        <w:spacing w:before="200" w:after="0" w:line="240" w:lineRule="auto"/>
        <w:ind w:firstLine="720"/>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1) vai izraudzītie līdzekļi ir piemēroti leģitīmā mērķa sasniegšanai;</w:t>
      </w:r>
    </w:p>
    <w:p w14:paraId="76CA2BA4" w14:textId="77777777" w:rsidR="00F80CD9" w:rsidRPr="00F80CD9" w:rsidRDefault="00F80CD9" w:rsidP="00F80CD9">
      <w:pPr>
        <w:spacing w:before="200" w:after="0" w:line="240" w:lineRule="auto"/>
        <w:ind w:firstLine="720"/>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2) vai nepastāv personu pamattiesības mazāk ierobežojoši (saudzējošāki) līdzekļi;</w:t>
      </w:r>
    </w:p>
    <w:p w14:paraId="44F928AA" w14:textId="77777777" w:rsidR="00F80CD9" w:rsidRPr="00F80CD9" w:rsidRDefault="00F80CD9" w:rsidP="00F80CD9">
      <w:pPr>
        <w:spacing w:before="200" w:after="0" w:line="240" w:lineRule="auto"/>
        <w:ind w:left="720"/>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3) vai labums, ko iegūst sabiedrība, ir lielāks par indivīda tiesībām un likumiskajām interesēm nodarīto kaitējumu (</w:t>
      </w:r>
      <w:r w:rsidRPr="00F80CD9">
        <w:rPr>
          <w:rFonts w:ascii="Times New Roman" w:eastAsia="Calibri" w:hAnsi="Times New Roman" w:cs="Times New Roman"/>
          <w:i/>
          <w:iCs/>
          <w:sz w:val="24"/>
          <w:szCs w:val="24"/>
        </w:rPr>
        <w:t>sk., piemēram, Satversmes tiesas 2011. gada 30. marta sprieduma lietā Nr. 2010-60-01 23. punktu</w:t>
      </w:r>
      <w:r w:rsidRPr="00F80CD9">
        <w:rPr>
          <w:rFonts w:ascii="Times New Roman" w:eastAsia="Calibri" w:hAnsi="Times New Roman" w:cs="Times New Roman"/>
          <w:sz w:val="24"/>
          <w:szCs w:val="24"/>
        </w:rPr>
        <w:t>).</w:t>
      </w:r>
    </w:p>
    <w:p w14:paraId="2599E5CA"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rPr>
      </w:pPr>
      <w:r w:rsidRPr="00F80CD9">
        <w:rPr>
          <w:rFonts w:ascii="Times New Roman" w:eastAsia="Calibri" w:hAnsi="Times New Roman" w:cs="Times New Roman"/>
          <w:b/>
          <w:bCs/>
          <w:sz w:val="24"/>
          <w:szCs w:val="24"/>
        </w:rPr>
        <w:t>LTAB uzskata, ka Satversmes 102. pantā paredzēto pamattiesību ierobežojums, faktiski pārveidojot biedrību par valsts pārvaldes iestādi, ir nesamērīgs ar ierobežojuma leģitīmo mērķi.</w:t>
      </w:r>
    </w:p>
    <w:p w14:paraId="1C113CAB"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[3] </w:t>
      </w:r>
      <w:r w:rsidRPr="00F80CD9">
        <w:rPr>
          <w:rFonts w:ascii="Times New Roman" w:eastAsia="Calibri" w:hAnsi="Times New Roman" w:cs="Times New Roman"/>
          <w:sz w:val="24"/>
          <w:szCs w:val="24"/>
        </w:rPr>
        <w:t xml:space="preserve">LTAB uzskata, ka prasība </w:t>
      </w:r>
      <w:r w:rsidRPr="00F80CD9">
        <w:rPr>
          <w:rFonts w:ascii="Times New Roman" w:eastAsia="Calibri" w:hAnsi="Times New Roman" w:cs="Times New Roman"/>
          <w:sz w:val="24"/>
          <w:szCs w:val="24"/>
          <w:u w:val="single"/>
        </w:rPr>
        <w:t>saskaņot biedrības statūtu grozījumus</w:t>
      </w:r>
      <w:r w:rsidRPr="00F80CD9">
        <w:rPr>
          <w:rFonts w:ascii="Times New Roman" w:eastAsia="Calibri" w:hAnsi="Times New Roman" w:cs="Times New Roman"/>
          <w:sz w:val="24"/>
          <w:szCs w:val="24"/>
        </w:rPr>
        <w:t xml:space="preserve"> ar Finanšu ministriju nesamērīgi ierobežo Satversmes 102. pantā paredzētās pamattiesības, jo nav piemērota leģitīmā mērķa sasniegšanai. </w:t>
      </w:r>
    </w:p>
    <w:p w14:paraId="5C512E22"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lastRenderedPageBreak/>
        <w:t>No Likumprojekta anotācijas izriet, ka prasība saskaņot statūtu grozījumus ar Finanšu ministriju ir nepieciešama, lai statūtos netiktu izdarīti tādi grozījumi, kuri varētu negatīvi ietekmēt LTAB deleģēto uzdevumu izpildi. Šajā sakarā norādāms, ka Biedrību un nodibinājumu likuma 25. panta otrā daļa uzskaita biedrības statūtos norādāmo informāciju. Savukārt 25. panta trešā daļa paredz, ka, ja statūti ir pretrunā ar likumu, piemērojami likuma noteikumi.</w:t>
      </w:r>
    </w:p>
    <w:p w14:paraId="3163A92A"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Līdz ar to pat tad, ja LTAB statūtos veiktu grozījumus, kas negatīvi ietekmētu LTAB uzdevumu izpildi, būtu uzskatāms, ka šādi grozījumi ir pretrunā ar OCTA likumu. Tādā gadījumā LTAB statūtu noteikumi, kas nonāktu pretrunā OCTA likuma regulējumam, nebūtu piemērojami. Tā vietā būtu jāpiemēro OCTA likuma regulējums. </w:t>
      </w:r>
    </w:p>
    <w:p w14:paraId="575D8FCA"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rPr>
      </w:pPr>
      <w:r w:rsidRPr="00F80CD9">
        <w:rPr>
          <w:rFonts w:ascii="Times New Roman" w:eastAsia="Calibri" w:hAnsi="Times New Roman" w:cs="Times New Roman"/>
          <w:b/>
          <w:bCs/>
          <w:sz w:val="24"/>
          <w:szCs w:val="24"/>
        </w:rPr>
        <w:t>Ņemot vērā iepriekš minēto, Likumprojektā paredzētais pienākums saskaņot LTAB statūtu grozījumus ar Finanšu ministriju nesasniedz leģitīmo mērķi, jo statūtu noteikumi, kas nonāk pretrunā OCTA likumam, nav piemērojami.</w:t>
      </w:r>
    </w:p>
    <w:p w14:paraId="3B6228ED"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[4] </w:t>
      </w:r>
      <w:r w:rsidRPr="00F80CD9">
        <w:rPr>
          <w:rFonts w:ascii="Times New Roman" w:eastAsia="Calibri" w:hAnsi="Times New Roman" w:cs="Times New Roman"/>
          <w:sz w:val="24"/>
          <w:szCs w:val="24"/>
        </w:rPr>
        <w:t>Likumprojekta anotācijā nav dots pamatojums pienākumam saskaņot ar Finanšu ministriju LTAB iekšējos tiesību aktus. LTAB pieņem, ka šāda prasība tiek izvirzīta bez padziļinātā izvērtējuma analoģiski piemērojot VPIL 75. panta regulējumu, kas attiecas uz iestādes iekšējo normatīvo aktu saskaņošanu.</w:t>
      </w:r>
    </w:p>
    <w:p w14:paraId="3FC8DF32"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LTAB vērš uzmanību uz to, ka LTAB iekšēji organizatoriski dokumenti nav normatīvie akti. Turklāt, ņemot vērā to, ka vairums no LTAB funkcijām ir ar privāttiesisku raksturu, kontrole pār biedrības organizatorisko brīvību nav attaisnojama ar vispārīgu vēlmi uzlabot uzdevumu izpildes uzraudzību. </w:t>
      </w:r>
    </w:p>
    <w:p w14:paraId="18274580"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LTAB norāda, ka iekšējo dokumentu saskaņošana nevar būt pašmērķīga. Sistēma, kuras ietvaros LTAB nāktos saskaņot ar Finanšu ministriju praktiski visus iekšējos dokumentus, radītu nesamērīgu birokrātisko slogu un nonāktu pretrunā ar biedrības kā privāto tiesību juridiskās personas būtību.</w:t>
      </w:r>
    </w:p>
    <w:p w14:paraId="35A20C27"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LTAB vērš uzmanību, ka, piemēram, konkurences tiesību normu ievērošana ir saistoša arī citiem privāto tiesību subjektiem. Taču citiem privāto tiesību subjektiem normatīvie akti neparedz pienākumu saskaņot ar valsts pārvaldes institūcijām organizatoriskos dokumentus. LTAB tiesiskas un likumīgas darbības kontrolei normatīvie akti paredz citus instrumentus.</w:t>
      </w:r>
    </w:p>
    <w:p w14:paraId="24B9070A"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rPr>
      </w:pPr>
      <w:r w:rsidRPr="00F80CD9">
        <w:rPr>
          <w:rFonts w:ascii="Times New Roman" w:eastAsia="Calibri" w:hAnsi="Times New Roman" w:cs="Times New Roman"/>
          <w:b/>
          <w:bCs/>
          <w:sz w:val="24"/>
          <w:szCs w:val="24"/>
        </w:rPr>
        <w:t>Ņemot vērā, ka visu LTAB iekšējo organizatorisko dokumentu saskaņošanai nav rodams pamatojums un loģiska saistība ar nepieciešamību stiprināt LTAB darbības uzraudzību, pienākums saskaņot LTAB iekšējos tiesību aktus ar Finanšu ministriju ir nesamērīgs.</w:t>
      </w:r>
    </w:p>
    <w:p w14:paraId="694FE06C"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[5] </w:t>
      </w:r>
      <w:r w:rsidRPr="00F80CD9">
        <w:rPr>
          <w:rFonts w:ascii="Times New Roman" w:eastAsia="Calibri" w:hAnsi="Times New Roman" w:cs="Times New Roman"/>
          <w:sz w:val="24"/>
          <w:szCs w:val="24"/>
        </w:rPr>
        <w:t>Arī Finanšu ministrijas pārstāvja piedalīšanas LTAB kopsapulcē un Garantijas fonda padomes sēdēs ir nesamērīga. Pirmkārt, ne visi jautājumi, kas izskatāmi kopsapulcē un Garantijas fonda sēdēs ir saistīti ar pārvaldes uzdevumu īstenošanu. Finanšu ministrijas pārstāvja klātbūtne tādu jautājumu izskatīšanā, kas attiecas tikai uz LTAB kā biedrības privātautonomiju un organizatorisko kārtību, nav attaisnojami ar Likumprojekta leģitīmo mērķi.</w:t>
      </w:r>
    </w:p>
    <w:p w14:paraId="38618E9D"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Otrkārt, pastāv citi LTAB kā biedrības pamattiesību mazāk ierobežojoši līdzekļi uzraudzības pilnveidošanai. Proti, LTAB kopsapulces un Garantijas fonda sēdes ir iespējams protokolēt. Ja LTAB kopsapulces un Garantijas fonda sēdes tiktu pienācīgi protokolētas, zustu nepieciešamība pēc Finanšu ministrijas pārstāvja fiziskas klātbūtnes minētajās sēdēs. Uzraudzības funkciju šādā gadījumā varētu veikt, pieprasot minēto sēžu protokolus. Turklāt šāds risinājums ļautu labāk veikt uzraudzības funkciju ne tikai Finanšu ministrijai, bet arī citām institūcijām. </w:t>
      </w:r>
    </w:p>
    <w:p w14:paraId="11A8EEC9"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lastRenderedPageBreak/>
        <w:t>Biedrību un nodibinājumu likums jau šobrīd paredz, ka biedru sapulces un valdes sēdes tiek protokolētas. Līdzīgs regulējums varētu tikt attiecināts arī uz Garantijas fonda sēdēm. Ņemot vērā, ka ne visi LTAB sēdēs izskatītie jautājumi ir saistīti ar OCTA likumā paredzētajiem uzdevumiem, normatīvajā regulējumā būtu precizējams, ka Finanšu ministrijai (citām uzraugošajām institūcijām) ir tiesības saņemt tikai to kopsapulces un Garantijas fonda sēžu daļu protokolus, kuros tiek skatīti ar OCTA likumā paredzētajiem uzdevumiem saistīti jautājumi, un tikai tad, ja tas ir nepieciešams pārraudzības funkciju veikšanai.</w:t>
      </w:r>
    </w:p>
    <w:p w14:paraId="18DD4F04"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Ņemot vērā minēto, Finanšu ministrijas pārstāvja piedalīšanās LTAB kopsapulces un Garantijas fonda sēdēs ir nesamērīgs Satversmes 102. pantā paredzēto pamattiesību ierobežojums, jo pastāv alternatīvi līdzekļi, kas mazāk ierobežotu LTAB tiesības un ļautu sasniegt Likumprojekta mērķus tāda pašā kvalitātē.</w:t>
      </w:r>
      <w:r w:rsidRPr="00F80CD9">
        <w:rPr>
          <w:rFonts w:ascii="Times New Roman" w:eastAsia="Calibri" w:hAnsi="Times New Roman" w:cs="Times New Roman"/>
          <w:sz w:val="24"/>
          <w:szCs w:val="24"/>
        </w:rPr>
        <w:t xml:space="preserve"> </w:t>
      </w:r>
    </w:p>
    <w:p w14:paraId="7D2D168E"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[6] </w:t>
      </w:r>
      <w:r w:rsidRPr="00F80CD9">
        <w:rPr>
          <w:rFonts w:ascii="Times New Roman" w:eastAsia="Calibri" w:hAnsi="Times New Roman" w:cs="Times New Roman"/>
          <w:sz w:val="24"/>
          <w:szCs w:val="24"/>
        </w:rPr>
        <w:t xml:space="preserve">LTAB uzskata, ka arī pienākums reizi ceturksnī sniegt Finanšu ministrijai informāciju par LTAB uzdevumu izpildi </w:t>
      </w:r>
      <w:r w:rsidRPr="00F80CD9">
        <w:rPr>
          <w:rFonts w:ascii="Times New Roman" w:eastAsia="Calibri" w:hAnsi="Times New Roman" w:cs="Times New Roman"/>
          <w:sz w:val="24"/>
          <w:szCs w:val="24"/>
          <w:u w:val="single"/>
        </w:rPr>
        <w:t>ir nesamērīgs ar Likumprojekta mērķi</w:t>
      </w:r>
      <w:r w:rsidRPr="00F80CD9">
        <w:rPr>
          <w:rFonts w:ascii="Times New Roman" w:eastAsia="Calibri" w:hAnsi="Times New Roman" w:cs="Times New Roman"/>
          <w:sz w:val="24"/>
          <w:szCs w:val="24"/>
        </w:rPr>
        <w:t>. Pirmkārt, OCTA likuma 49. panta trešā daļa jau šobrīd paredz, ka LTAB ne retāk kā reizi ceturksnī sniedz Finanšu ministrijai un Finanšu un kapitāla tirgus komisijai apkopotu informāciju par situāciju sauszemes transportlīdzekļu īpašnieku OCTA valstī.</w:t>
      </w:r>
    </w:p>
    <w:p w14:paraId="45C73814"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Otrkārt, regulāra apjomīgu atskaišu sniegšana būtiski palielinātu LTAB administratīvo slogu. Jau šobrīd LTAB interneta vietnē ir publiski pieejama informācija par LTAB uzdevumu izpildi. Ja tas ir nepieciešams uzraudzības uzlabošanai, ir iespējams papildināt interneta vietnē pieejamo informāciju ar detalizētāku uzdevumu izpildes raksturojumu, kas būtu samērīgs ar nepieciešamo uzraudzības apjomu.</w:t>
      </w:r>
    </w:p>
    <w:p w14:paraId="06BF1FBA"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Savukārt, ja Finanšu ministrijai būtu nepieciešams saņemt papildu informāciju, tad to varētu darīt, pamatojoties uz Likumprojekta 4. pantā paredzēto OCTA likuma 44.</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sz w:val="24"/>
          <w:szCs w:val="24"/>
        </w:rPr>
        <w:t> panta trešo daļu.</w:t>
      </w:r>
    </w:p>
    <w:p w14:paraId="6D30C87B"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u w:val="single"/>
        </w:rPr>
      </w:pPr>
    </w:p>
    <w:p w14:paraId="03881371" w14:textId="77777777" w:rsidR="00F80CD9" w:rsidRPr="00F80CD9" w:rsidRDefault="00F80CD9" w:rsidP="00F80CD9">
      <w:pPr>
        <w:spacing w:before="200" w:after="0" w:line="240" w:lineRule="auto"/>
        <w:jc w:val="both"/>
        <w:rPr>
          <w:rFonts w:ascii="Times New Roman" w:eastAsia="Calibri" w:hAnsi="Times New Roman" w:cs="Times New Roman"/>
          <w:b/>
          <w:bCs/>
          <w:sz w:val="24"/>
          <w:szCs w:val="24"/>
          <w:u w:val="single"/>
        </w:rPr>
      </w:pPr>
      <w:r w:rsidRPr="00F80CD9">
        <w:rPr>
          <w:rFonts w:ascii="Times New Roman" w:eastAsia="Calibri" w:hAnsi="Times New Roman" w:cs="Times New Roman"/>
          <w:b/>
          <w:bCs/>
          <w:sz w:val="24"/>
          <w:szCs w:val="24"/>
          <w:u w:val="single"/>
        </w:rPr>
        <w:t>NO IEBILDUMIEM IZRIETOŠIE IETEIKUMI</w:t>
      </w:r>
    </w:p>
    <w:p w14:paraId="165E9A2A"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[1] </w:t>
      </w:r>
      <w:r w:rsidRPr="00F80CD9">
        <w:rPr>
          <w:rFonts w:ascii="Times New Roman" w:eastAsia="Calibri" w:hAnsi="Times New Roman" w:cs="Times New Roman"/>
          <w:sz w:val="24"/>
          <w:szCs w:val="24"/>
        </w:rPr>
        <w:t>Ievērojot minēto, LTAB rosina precizēt Likumprojekta 4. pantu, izslēdzot no 44.</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sz w:val="24"/>
          <w:szCs w:val="24"/>
        </w:rPr>
        <w:t xml:space="preserve"> panta redakcijas otro daļu. Tā vietā LTAB rosina OCTA likuma regulējumu papildināt ar prasību par LTAB kopsapulču un Garantijas fonda sapulču protokolēšanu un protokolu izsniegšanu valsts pārvaldes institūcijām, ja tas nepieciešams to likumīgo funkciju veikšanai. Tehniskas nianses par sēžu protokolēšanu un protokolu iesniegšanu varētu atrunāt savstarpējā sadarbības memorandā.</w:t>
      </w:r>
    </w:p>
    <w:p w14:paraId="464CF501"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LTAB rosina pārformulēt 44.</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sz w:val="24"/>
          <w:szCs w:val="24"/>
        </w:rPr>
        <w:t xml:space="preserve"> panta redakcijas pirmo daļu tiešā veidā paredzot, ka LTAB atrodas Finanšu ministrijas pārraudzība tikai saistībā ar ekspertu sertificēšanas uzdevuma izpildi. LTAB ieskatā prasība saskaņot iekšējos tiesību aktus, kas saistīti ar ekspertu sertificēšanas uzdevuma izpildi, būtu samērīga.</w:t>
      </w:r>
    </w:p>
    <w:p w14:paraId="1160069A"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LTAB rosina arī pārformulēt 44.</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sz w:val="24"/>
          <w:szCs w:val="24"/>
        </w:rPr>
        <w:t xml:space="preserve"> panta trešo daļu, paredzot, ka Finanšu ministrijai ir tiesības saņemt no LTAB papildu informāciju, kas nepieciešama LTAB uzdevumu uzraudzības nodrošināšanai.</w:t>
      </w:r>
    </w:p>
    <w:p w14:paraId="2BE9F041"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[2] </w:t>
      </w:r>
      <w:r w:rsidRPr="00F80CD9">
        <w:rPr>
          <w:rFonts w:ascii="Times New Roman" w:eastAsia="Calibri" w:hAnsi="Times New Roman" w:cs="Times New Roman"/>
          <w:sz w:val="24"/>
          <w:szCs w:val="24"/>
        </w:rPr>
        <w:t>LTAB rosina izslēgt no Likumprojekta 2. panta normu, kas paredz prasību LTAB statūtus un to grozījumus saskaņot ar Finanšu ministriju.</w:t>
      </w:r>
    </w:p>
    <w:p w14:paraId="48B2AAD4"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rPr>
        <w:t xml:space="preserve">[3] </w:t>
      </w:r>
      <w:r w:rsidRPr="00F80CD9">
        <w:rPr>
          <w:rFonts w:ascii="Times New Roman" w:eastAsia="Calibri" w:hAnsi="Times New Roman" w:cs="Times New Roman"/>
          <w:sz w:val="24"/>
          <w:szCs w:val="24"/>
        </w:rPr>
        <w:t xml:space="preserve">LTAB rosina izslēgt no Likumprojekta 3. panta normu, kas paredz OCTA likuma 44. pantu papildināt ar piekto daļu. </w:t>
      </w:r>
    </w:p>
    <w:p w14:paraId="09507038"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p>
    <w:p w14:paraId="6DEDC8B7" w14:textId="77777777" w:rsidR="00F80CD9" w:rsidRPr="00F80CD9" w:rsidRDefault="00F80CD9" w:rsidP="00F80CD9">
      <w:pPr>
        <w:numPr>
          <w:ilvl w:val="0"/>
          <w:numId w:val="4"/>
        </w:numPr>
        <w:spacing w:before="200" w:after="0" w:line="240" w:lineRule="auto"/>
        <w:ind w:left="714" w:hanging="357"/>
        <w:jc w:val="center"/>
        <w:rPr>
          <w:rFonts w:ascii="Times New Roman" w:eastAsia="Calibri" w:hAnsi="Times New Roman" w:cs="Times New Roman"/>
          <w:b/>
          <w:bCs/>
          <w:sz w:val="28"/>
          <w:szCs w:val="28"/>
        </w:rPr>
      </w:pPr>
      <w:r w:rsidRPr="00F80CD9">
        <w:rPr>
          <w:rFonts w:ascii="Times New Roman" w:eastAsia="Calibri" w:hAnsi="Times New Roman" w:cs="Times New Roman"/>
          <w:b/>
          <w:bCs/>
          <w:sz w:val="28"/>
          <w:szCs w:val="28"/>
        </w:rPr>
        <w:t>Padomdevēja tiesības LTAB kopsapulcē</w:t>
      </w:r>
    </w:p>
    <w:p w14:paraId="563A1368"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Likumprojekta 5. pants paredz papildināt OCTA likuma 46. panta pirmo daļu ar teikumu šādā redakcijā:</w:t>
      </w:r>
    </w:p>
    <w:p w14:paraId="0D077199" w14:textId="77777777" w:rsidR="00F80CD9" w:rsidRPr="00F80CD9" w:rsidRDefault="00F80CD9" w:rsidP="00F80CD9">
      <w:pPr>
        <w:spacing w:before="200" w:after="0" w:line="240" w:lineRule="auto"/>
        <w:ind w:left="862" w:right="862"/>
        <w:jc w:val="both"/>
        <w:rPr>
          <w:rFonts w:ascii="Times New Roman" w:eastAsia="Calibri" w:hAnsi="Times New Roman" w:cs="Times New Roman"/>
          <w:i/>
          <w:iCs/>
          <w:sz w:val="24"/>
          <w:szCs w:val="24"/>
        </w:rPr>
      </w:pPr>
      <w:r w:rsidRPr="00F80CD9">
        <w:rPr>
          <w:rFonts w:ascii="Times New Roman" w:eastAsia="Calibri" w:hAnsi="Times New Roman" w:cs="Times New Roman"/>
          <w:i/>
          <w:iCs/>
          <w:sz w:val="24"/>
          <w:szCs w:val="24"/>
        </w:rPr>
        <w:t>„Ar padomdevēja tiesībām kopsapulcē ir tiesīgs piedalīties Finanšu ministrijas pārstāvis un Patērētāju tiesību aizsardzības centra pārstāvis.”</w:t>
      </w:r>
    </w:p>
    <w:p w14:paraId="719DB4E0"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u w:val="single"/>
        </w:rPr>
        <w:t>IEBILDUMI</w:t>
      </w:r>
    </w:p>
    <w:p w14:paraId="4A30DB5A"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Iebildumus par Finanšu ministrijas pārstāvja piedalīšanos LTAB kopsapulcēs un iespējamos risinājumus, kas mazāk ierobežo LTAB kā biedrības pamattiesības, LTAB ir izklāstījis IV. daļā. Minētie iebildumi un ieteikumi ir vienlīdz attiecināmi arī uz Likumprojektā paredzētajām Finanšu ministrijas pārstāvja tiesībām piedalīties LTAB kopsapulcē ar padomdevēja tiesībām.</w:t>
      </w:r>
    </w:p>
    <w:p w14:paraId="4F5BEDC7"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Papildus minētajam arī Patērētāju tiesību aizsardzības centra (turpmāk – </w:t>
      </w:r>
      <w:r w:rsidRPr="00F80CD9">
        <w:rPr>
          <w:rFonts w:ascii="Times New Roman" w:eastAsia="Calibri" w:hAnsi="Times New Roman" w:cs="Times New Roman"/>
          <w:b/>
          <w:bCs/>
          <w:sz w:val="24"/>
          <w:szCs w:val="24"/>
        </w:rPr>
        <w:t>PTAC</w:t>
      </w:r>
      <w:r w:rsidRPr="00F80CD9">
        <w:rPr>
          <w:rFonts w:ascii="Times New Roman" w:eastAsia="Calibri" w:hAnsi="Times New Roman" w:cs="Times New Roman"/>
          <w:sz w:val="24"/>
          <w:szCs w:val="24"/>
        </w:rPr>
        <w:t>) pārstāvju piedalīšanas LTAB kopsapulcēs ierobežotu LTAB kā biedrības pamattiesības. Taču saistībā ar PTAC pārstāvju piedalīšanos LTAB kopsapulcēs ir saskatāmi arī citi būtiski Likumprojekta trūkumi.</w:t>
      </w:r>
    </w:p>
    <w:p w14:paraId="14BDBC38"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Atbilstoši Patērētāju tiesību aizsardzības likumam PTAC īsteno normatīvajos aktos noteikto patērētāju tiesību aizsardzības uzraudzību un kontroli. Tajā skaitā PTAC sniedz palīdzību patērētājiem strīdu risināšanā ar pārdevējiem un pakalpojumu sniedzējiem, uzrauga patērētāju tiesību ievērošanas līgumu projektos un līgumos, ko patērētāji slēdz ar pārdevējiem un pakalpojumu sniedzējiem, kā arī piemēro dažādus sodus pārdevējiem un pakalpojumu sniedzējiem (gan administratīvās atbildības gadījumā, gan negodīgas komercprakses īstenošanā). </w:t>
      </w:r>
    </w:p>
    <w:p w14:paraId="4DEA6A6A"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OCTA likuma 46. panta otrā daļa noteic LTAB kopsapulces tiesības un izlemjamo jautājumu loku. No minētās normas izriet, ka LTAB kopsapulce var lemt par jebkuriem jautājumiem, ko iesniegusi valde vai konsultatīvā padome vai </w:t>
      </w:r>
      <w:r w:rsidRPr="00F80CD9">
        <w:rPr>
          <w:rFonts w:ascii="Times New Roman" w:eastAsia="Calibri" w:hAnsi="Times New Roman" w:cs="Times New Roman"/>
          <w:sz w:val="24"/>
          <w:szCs w:val="24"/>
          <w:u w:val="single"/>
        </w:rPr>
        <w:t>ierosinājis kāds apdrošinātājs.</w:t>
      </w:r>
      <w:r w:rsidRPr="00F80CD9">
        <w:rPr>
          <w:rFonts w:ascii="Times New Roman" w:eastAsia="Calibri" w:hAnsi="Times New Roman" w:cs="Times New Roman"/>
          <w:sz w:val="24"/>
          <w:szCs w:val="24"/>
        </w:rPr>
        <w:t xml:space="preserve"> Ņemot vērā, ka PTAC zināmā mērā veic patērētāju tiesību ievērošanas uzraudzību arī apdrošinātāju darbībā, var rasties situācija, kur PTAC pārstāvis ar padomdevēja tiesībām piedalās tāda jautājuma izskatīšanā, kas tieši vai netieši ir saistīts ar nākotnē izšķiramu strīdu starp apdrošinātāju un patērētāju vai citā veidā ietekmē patērētāju tiesību ievērošanu. </w:t>
      </w:r>
    </w:p>
    <w:p w14:paraId="35013595"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 xml:space="preserve">Ja PTAC pārstāvis kā padomdevējs būs piedalījies LTAB kopsapulcē, kurā lemtu par jautājumu, kas būtu saistīts ar PTAC kompetencē vēlāk izskatāmu pārkāpumu vai strīdu, </w:t>
      </w:r>
      <w:r w:rsidRPr="00F80CD9">
        <w:rPr>
          <w:rFonts w:ascii="Times New Roman" w:eastAsia="Calibri" w:hAnsi="Times New Roman" w:cs="Times New Roman"/>
          <w:sz w:val="24"/>
          <w:szCs w:val="24"/>
          <w:u w:val="single"/>
        </w:rPr>
        <w:t>PTAC darbībā varētu rasties interešu konflikts.</w:t>
      </w:r>
      <w:r w:rsidRPr="00F80CD9">
        <w:rPr>
          <w:rFonts w:ascii="Times New Roman" w:eastAsia="Calibri" w:hAnsi="Times New Roman" w:cs="Times New Roman"/>
          <w:sz w:val="24"/>
          <w:szCs w:val="24"/>
        </w:rPr>
        <w:t xml:space="preserve"> Šāda situācija varētu ierobežot PTAC funkciju veikšanu saistībā ar APL 14.</w:t>
      </w:r>
      <w:r w:rsidRPr="00F80CD9">
        <w:rPr>
          <w:rFonts w:ascii="Times New Roman" w:eastAsia="Calibri" w:hAnsi="Times New Roman" w:cs="Times New Roman"/>
          <w:sz w:val="24"/>
          <w:szCs w:val="24"/>
          <w:vertAlign w:val="superscript"/>
        </w:rPr>
        <w:t>1</w:t>
      </w:r>
      <w:r w:rsidRPr="00F80CD9">
        <w:rPr>
          <w:rFonts w:ascii="Times New Roman" w:eastAsia="Calibri" w:hAnsi="Times New Roman" w:cs="Times New Roman"/>
          <w:sz w:val="24"/>
          <w:szCs w:val="24"/>
        </w:rPr>
        <w:t xml:space="preserve"> pantā nostiprināto procesuālā taisnīguma principu, kas sevī ietver gan prasību pēc iestādes objektivitātes, gan iestādes neieinteresētību lietas iznākumā (</w:t>
      </w:r>
      <w:r w:rsidRPr="00F80CD9">
        <w:rPr>
          <w:rFonts w:ascii="Times New Roman" w:eastAsia="Calibri" w:hAnsi="Times New Roman" w:cs="Times New Roman"/>
          <w:i/>
          <w:iCs/>
          <w:sz w:val="24"/>
          <w:szCs w:val="24"/>
        </w:rPr>
        <w:t>Administratīvā procesa likuma komentāri. A un B daļa. Sagatavojis autoru kolektīvs. Dr.iur. J. Briedes zinātniskajā redakcijā. – Rīga: Tiesu namu aģentūra, 2013, 216.-217.lpp.</w:t>
      </w:r>
      <w:r w:rsidRPr="00F80CD9">
        <w:rPr>
          <w:rFonts w:ascii="Times New Roman" w:eastAsia="Calibri" w:hAnsi="Times New Roman" w:cs="Times New Roman"/>
          <w:sz w:val="24"/>
          <w:szCs w:val="24"/>
        </w:rPr>
        <w:t>). Turklāt PTAC lietvedības, kuru rezultāta tiek pieņemts sodoša rakstura lēmums (piemēram, administratīvo pārkāpuma lietas vai sodi par negodīgu komercpraksi), ir atzīstamas par krimināllietām Eiropas Cilvēka tiesību un pamatbrīvību aizsardzības konvencijas izpratnē (</w:t>
      </w:r>
      <w:r w:rsidRPr="00F80CD9">
        <w:rPr>
          <w:rFonts w:ascii="Times New Roman" w:eastAsia="Calibri" w:hAnsi="Times New Roman" w:cs="Times New Roman"/>
          <w:i/>
          <w:iCs/>
          <w:sz w:val="24"/>
          <w:szCs w:val="24"/>
        </w:rPr>
        <w:t>salīdzinājumam sk., piemēram, Senāta 2013. gada 11. janvāra spriedumu lietā Nr, SKA-15/2013</w:t>
      </w:r>
      <w:r w:rsidRPr="00F80CD9">
        <w:rPr>
          <w:rFonts w:ascii="Times New Roman" w:eastAsia="Calibri" w:hAnsi="Times New Roman" w:cs="Times New Roman"/>
          <w:sz w:val="24"/>
          <w:szCs w:val="24"/>
        </w:rPr>
        <w:t>). Līdz ar to PTAC kā padomdevēja tiesības potenciāli varētu nonākt pretrunā arī Eiropas Cilvēka tiesību un pamatbrīvību aizsardzības konvencijā paredzētajām pamattiesību garantijām.</w:t>
      </w:r>
    </w:p>
    <w:p w14:paraId="0A715D23"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lastRenderedPageBreak/>
        <w:t>Katrā ziņā PTAC kā padomdevēja piedalīšanās biedrības, kuru veido apdrošinātāji, kopsapulcē radītu pamatotas šaubas par PTAC kā iestādes objektivitātei lēmumu pieņemšanā lietās, kuras ir saistītas ar apdrošinātāju sniegtajiem pakalpojumiem. Līdz ar to Likumprojektā paredzētās tiesības PTAC pārstāvim ar padomdevēja tiesībām piedalīties LTAB kopsapulcēs varētu mazināt uzticību PTAC un valsts pārvaldei kopumā gan no patērētāju, gan komersantu puses.</w:t>
      </w:r>
    </w:p>
    <w:p w14:paraId="3A0ED08C"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b/>
          <w:bCs/>
          <w:sz w:val="24"/>
          <w:szCs w:val="24"/>
          <w:u w:val="single"/>
        </w:rPr>
        <w:t>NO IEBILDUMIEM IZRIETOŠIE IETEIKUMI</w:t>
      </w:r>
    </w:p>
    <w:p w14:paraId="6563539D" w14:textId="77777777" w:rsidR="00F80CD9" w:rsidRPr="00F80CD9" w:rsidRDefault="00F80CD9" w:rsidP="00F80CD9">
      <w:pPr>
        <w:spacing w:before="200"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Ievērojot iepriekš minētos iebildumus, LTAB rosina izslēgt no Likumprojekta 5. panta normu, kas paredz papildināt OCTA likuma 46. panta pirmo daļu, kas paredz Finanšu ministrijas un PTAC pārstāvju dalību LTAB kopsapulcēs  ar padomdevēja tiesībām.</w:t>
      </w:r>
    </w:p>
    <w:p w14:paraId="2E8B9630" w14:textId="77777777" w:rsidR="00F80CD9" w:rsidRPr="00F80CD9" w:rsidRDefault="00F80CD9" w:rsidP="00F80CD9">
      <w:pPr>
        <w:spacing w:before="200" w:after="0" w:line="240" w:lineRule="auto"/>
        <w:contextualSpacing/>
        <w:jc w:val="both"/>
        <w:rPr>
          <w:rFonts w:ascii="Times New Roman" w:eastAsia="Calibri" w:hAnsi="Times New Roman" w:cs="Times New Roman"/>
          <w:b/>
          <w:bCs/>
          <w:sz w:val="24"/>
          <w:szCs w:val="24"/>
        </w:rPr>
      </w:pPr>
    </w:p>
    <w:p w14:paraId="3C0D7559" w14:textId="77777777" w:rsidR="00F80CD9" w:rsidRPr="00F80CD9" w:rsidRDefault="00F80CD9" w:rsidP="00F80CD9">
      <w:pPr>
        <w:numPr>
          <w:ilvl w:val="0"/>
          <w:numId w:val="4"/>
        </w:numPr>
        <w:spacing w:before="200" w:after="0" w:line="240" w:lineRule="auto"/>
        <w:ind w:left="714" w:hanging="357"/>
        <w:jc w:val="center"/>
        <w:rPr>
          <w:rFonts w:ascii="Times New Roman" w:eastAsia="Calibri" w:hAnsi="Times New Roman" w:cs="Times New Roman"/>
          <w:b/>
          <w:bCs/>
          <w:sz w:val="28"/>
          <w:szCs w:val="28"/>
        </w:rPr>
      </w:pPr>
      <w:r w:rsidRPr="00F80CD9">
        <w:rPr>
          <w:rFonts w:ascii="Times New Roman" w:eastAsia="Calibri" w:hAnsi="Times New Roman" w:cs="Times New Roman"/>
          <w:b/>
          <w:bCs/>
          <w:sz w:val="28"/>
          <w:szCs w:val="28"/>
        </w:rPr>
        <w:t>OCTA 28. panta redakcija</w:t>
      </w:r>
    </w:p>
    <w:p w14:paraId="6B5B9CDD" w14:textId="77777777" w:rsidR="00F80CD9" w:rsidRPr="00F80CD9" w:rsidRDefault="00F80CD9" w:rsidP="00F80CD9">
      <w:pPr>
        <w:spacing w:after="0" w:line="240" w:lineRule="auto"/>
        <w:rPr>
          <w:rFonts w:ascii="Times New Roman" w:eastAsia="Calibri" w:hAnsi="Times New Roman" w:cs="Times New Roman"/>
          <w:b/>
          <w:bCs/>
          <w:sz w:val="24"/>
          <w:szCs w:val="24"/>
          <w:lang w:val="en-GB"/>
        </w:rPr>
      </w:pPr>
    </w:p>
    <w:p w14:paraId="349DB9B4" w14:textId="77777777" w:rsidR="00F80CD9" w:rsidRPr="00F80CD9" w:rsidRDefault="00F80CD9" w:rsidP="00F80CD9">
      <w:pPr>
        <w:shd w:val="clear" w:color="auto" w:fill="FFFFFF"/>
        <w:spacing w:before="100" w:beforeAutospacing="1" w:after="100" w:afterAutospacing="1" w:line="293" w:lineRule="atLeast"/>
        <w:jc w:val="both"/>
        <w:rPr>
          <w:rFonts w:ascii="Times New Roman" w:eastAsia="Calibri" w:hAnsi="Times New Roman" w:cs="Times New Roman"/>
          <w:b/>
          <w:bCs/>
          <w:sz w:val="24"/>
          <w:szCs w:val="24"/>
          <w:u w:val="single"/>
        </w:rPr>
      </w:pPr>
      <w:r w:rsidRPr="00F80CD9">
        <w:rPr>
          <w:rFonts w:ascii="Times New Roman" w:eastAsia="Calibri" w:hAnsi="Times New Roman" w:cs="Times New Roman"/>
          <w:sz w:val="24"/>
          <w:szCs w:val="24"/>
        </w:rPr>
        <w:t>Likumprojekta 1. paredz Izslēgt 28.panta pirmajā teikumā vārdus “Latvijas Republikas teritorijā”.</w:t>
      </w:r>
    </w:p>
    <w:p w14:paraId="21EA0C21" w14:textId="77777777" w:rsidR="00F80CD9" w:rsidRPr="00F80CD9" w:rsidRDefault="00F80CD9" w:rsidP="00F80CD9">
      <w:pPr>
        <w:shd w:val="clear" w:color="auto" w:fill="FFFFFF"/>
        <w:spacing w:before="100" w:beforeAutospacing="1" w:after="100" w:afterAutospacing="1" w:line="293" w:lineRule="atLeast"/>
        <w:jc w:val="both"/>
        <w:rPr>
          <w:rFonts w:ascii="Times New Roman" w:eastAsia="Calibri" w:hAnsi="Times New Roman" w:cs="Times New Roman"/>
          <w:b/>
          <w:bCs/>
          <w:sz w:val="24"/>
          <w:szCs w:val="24"/>
          <w:u w:val="single"/>
        </w:rPr>
      </w:pPr>
      <w:r w:rsidRPr="00F80CD9">
        <w:rPr>
          <w:rFonts w:ascii="Times New Roman" w:eastAsia="Calibri" w:hAnsi="Times New Roman" w:cs="Times New Roman"/>
          <w:b/>
          <w:bCs/>
          <w:sz w:val="24"/>
          <w:szCs w:val="24"/>
          <w:u w:val="single"/>
        </w:rPr>
        <w:t>IEBILDUMI</w:t>
      </w:r>
    </w:p>
    <w:p w14:paraId="2AE00A62" w14:textId="77777777" w:rsidR="00F80CD9" w:rsidRPr="00F80CD9" w:rsidRDefault="00F80CD9" w:rsidP="00F80CD9">
      <w:pPr>
        <w:shd w:val="clear" w:color="auto" w:fill="FFFFFF"/>
        <w:spacing w:after="0" w:line="240" w:lineRule="auto"/>
        <w:jc w:val="both"/>
        <w:rPr>
          <w:rFonts w:ascii="Times New Roman" w:eastAsia="Calibri" w:hAnsi="Times New Roman" w:cs="Times New Roman"/>
          <w:b/>
          <w:bCs/>
          <w:sz w:val="24"/>
          <w:szCs w:val="24"/>
        </w:rPr>
      </w:pPr>
      <w:r w:rsidRPr="00F80CD9">
        <w:rPr>
          <w:rFonts w:ascii="Times New Roman" w:eastAsia="Calibri" w:hAnsi="Times New Roman" w:cs="Times New Roman"/>
          <w:sz w:val="24"/>
          <w:szCs w:val="24"/>
        </w:rPr>
        <w:t>LTAB ieskatā ir nepieciešams skaidrāk regulēt, kā ir nosakāmi izdevumi sakarā ar transportlīdzekļa vai tā atlieku evakuāciju, lai novērstu praksē konstatētās nepilnības. Izslēdzot vārdus “Latvijas Republikas teritorijā”, būtu jānovērš situācijas, kad transportlīdzeklis nebūtisku bojājumu dēļ tiek evakuēts līdz remonta vietai ārpus Latvijas Republikas robežām, kas nepamatoti palielinātu ar ceļu satiksmes negadījumu saistīto zaudējumu apmēru, tādēļ LTAB piedāvā likuma 28. pantu papildināt ar otro daļu.</w:t>
      </w:r>
    </w:p>
    <w:p w14:paraId="6FFB1483" w14:textId="77777777" w:rsidR="00F80CD9" w:rsidRPr="00F80CD9" w:rsidRDefault="00F80CD9" w:rsidP="00F80CD9">
      <w:pPr>
        <w:shd w:val="clear" w:color="auto" w:fill="FFFFFF"/>
        <w:spacing w:before="100" w:beforeAutospacing="1" w:after="100" w:afterAutospacing="1" w:line="293" w:lineRule="atLeast"/>
        <w:jc w:val="both"/>
        <w:rPr>
          <w:rFonts w:ascii="Times New Roman" w:eastAsia="Calibri" w:hAnsi="Times New Roman" w:cs="Times New Roman"/>
          <w:b/>
          <w:bCs/>
          <w:sz w:val="24"/>
          <w:szCs w:val="24"/>
          <w:u w:val="single"/>
        </w:rPr>
      </w:pPr>
      <w:r w:rsidRPr="00F80CD9">
        <w:rPr>
          <w:rFonts w:ascii="Times New Roman" w:eastAsia="Calibri" w:hAnsi="Times New Roman" w:cs="Times New Roman"/>
          <w:b/>
          <w:bCs/>
          <w:sz w:val="24"/>
          <w:szCs w:val="24"/>
          <w:u w:val="single"/>
        </w:rPr>
        <w:t>NO IEBILDUMIEM IZRIETOŠIE IETEIKUMI</w:t>
      </w:r>
    </w:p>
    <w:p w14:paraId="0E4EC74D" w14:textId="77777777" w:rsidR="00F80CD9" w:rsidRPr="00F80CD9" w:rsidRDefault="00F80CD9" w:rsidP="00F80CD9">
      <w:pPr>
        <w:spacing w:after="0" w:line="240" w:lineRule="auto"/>
        <w:rPr>
          <w:rFonts w:ascii="Times New Roman" w:eastAsia="Calibri" w:hAnsi="Times New Roman" w:cs="Times New Roman"/>
          <w:sz w:val="24"/>
          <w:szCs w:val="24"/>
        </w:rPr>
      </w:pPr>
      <w:r w:rsidRPr="00F80CD9">
        <w:rPr>
          <w:rFonts w:ascii="Times New Roman" w:eastAsia="Calibri" w:hAnsi="Times New Roman" w:cs="Times New Roman"/>
          <w:sz w:val="24"/>
          <w:szCs w:val="24"/>
        </w:rPr>
        <w:t>Izteikt likuma 28. pantu šādā redakcijā:</w:t>
      </w:r>
    </w:p>
    <w:p w14:paraId="7F40830D" w14:textId="77777777" w:rsidR="00F80CD9" w:rsidRPr="00F80CD9" w:rsidRDefault="00F80CD9" w:rsidP="00F80CD9">
      <w:pPr>
        <w:spacing w:after="0" w:line="240" w:lineRule="auto"/>
        <w:rPr>
          <w:rFonts w:ascii="Times New Roman" w:eastAsia="Calibri" w:hAnsi="Times New Roman" w:cs="Times New Roman"/>
          <w:b/>
          <w:bCs/>
          <w:color w:val="414142"/>
          <w:sz w:val="24"/>
          <w:szCs w:val="24"/>
          <w:shd w:val="clear" w:color="auto" w:fill="FFFFFF"/>
        </w:rPr>
      </w:pPr>
    </w:p>
    <w:p w14:paraId="68F07EC2" w14:textId="77777777" w:rsidR="00F80CD9" w:rsidRPr="00F80CD9" w:rsidRDefault="00F80CD9" w:rsidP="00F80CD9">
      <w:pPr>
        <w:spacing w:after="0" w:line="240" w:lineRule="auto"/>
        <w:rPr>
          <w:rFonts w:ascii="Times New Roman" w:eastAsia="Times New Roman" w:hAnsi="Times New Roman" w:cs="Times New Roman"/>
          <w:sz w:val="24"/>
          <w:szCs w:val="24"/>
          <w:u w:val="single"/>
          <w:lang w:eastAsia="lv-LV"/>
        </w:rPr>
      </w:pPr>
      <w:r w:rsidRPr="00F80CD9">
        <w:rPr>
          <w:rFonts w:ascii="Times New Roman" w:eastAsia="Calibri" w:hAnsi="Times New Roman" w:cs="Times New Roman"/>
          <w:b/>
          <w:bCs/>
          <w:color w:val="414142"/>
          <w:sz w:val="24"/>
          <w:szCs w:val="24"/>
          <w:shd w:val="clear" w:color="auto" w:fill="FFFFFF"/>
        </w:rPr>
        <w:t>“28.pants. Izdevumi sakarā ar transportlīdzekļa vai tā atlieku evakuāciju</w:t>
      </w:r>
    </w:p>
    <w:p w14:paraId="6D3BCE30" w14:textId="77777777" w:rsidR="00F80CD9" w:rsidRPr="00F80CD9" w:rsidRDefault="00F80CD9" w:rsidP="00F80CD9">
      <w:pPr>
        <w:spacing w:after="0" w:line="240" w:lineRule="auto"/>
        <w:rPr>
          <w:rFonts w:ascii="Times New Roman" w:eastAsia="Calibri" w:hAnsi="Times New Roman" w:cs="Times New Roman"/>
          <w:sz w:val="24"/>
          <w:szCs w:val="24"/>
        </w:rPr>
      </w:pPr>
    </w:p>
    <w:p w14:paraId="256B5045" w14:textId="7B0DD3FE" w:rsidR="00F80CD9" w:rsidRDefault="00F80CD9" w:rsidP="00F80CD9">
      <w:pPr>
        <w:spacing w:after="0" w:line="240" w:lineRule="auto"/>
        <w:jc w:val="both"/>
        <w:rPr>
          <w:rFonts w:ascii="Times New Roman" w:eastAsia="Calibri" w:hAnsi="Times New Roman" w:cs="Times New Roman"/>
          <w:sz w:val="24"/>
          <w:szCs w:val="24"/>
        </w:rPr>
      </w:pPr>
      <w:r w:rsidRPr="00F80CD9">
        <w:rPr>
          <w:rFonts w:ascii="Times New Roman" w:eastAsia="Calibri" w:hAnsi="Times New Roman" w:cs="Times New Roman"/>
          <w:sz w:val="24"/>
          <w:szCs w:val="24"/>
        </w:rPr>
        <w:t>(1)Izdevumi</w:t>
      </w:r>
      <w:r>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sakarā</w:t>
      </w:r>
      <w:r>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ar</w:t>
      </w:r>
      <w:r>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transportlīdzekļa</w:t>
      </w:r>
      <w:r>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vai</w:t>
      </w:r>
      <w:r>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tā</w:t>
      </w:r>
      <w:r>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atlieku</w:t>
      </w:r>
      <w:r>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evakuāciju</w:t>
      </w:r>
      <w:r>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 xml:space="preserve">ir: </w:t>
      </w:r>
    </w:p>
    <w:p w14:paraId="035A56F6" w14:textId="11781D27" w:rsidR="00F80CD9" w:rsidRDefault="00F80CD9" w:rsidP="00F80CD9">
      <w:pPr>
        <w:spacing w:after="0" w:line="240" w:lineRule="auto"/>
        <w:jc w:val="both"/>
        <w:rPr>
          <w:rFonts w:ascii="Times New Roman" w:hAnsi="Times New Roman" w:cs="Times New Roman"/>
          <w:iCs/>
          <w:sz w:val="24"/>
          <w:szCs w:val="24"/>
        </w:rPr>
      </w:pPr>
      <w:r w:rsidRPr="00F80CD9">
        <w:rPr>
          <w:rFonts w:ascii="Times New Roman" w:eastAsia="Calibri" w:hAnsi="Times New Roman" w:cs="Times New Roman"/>
          <w:sz w:val="24"/>
          <w:szCs w:val="24"/>
        </w:rPr>
        <w:br/>
        <w:t xml:space="preserve">1) izdevumi par transportlīdzekļa vai tā atlieku evakuāciju no ceļu satiksmes negadījuma vietas līdz tā transportlīdzekļa īpašnieka vai tiesīgā lietotāja dzīvesvietai, kurš vadīja transportlīdzekli ceļu satiksmes negadījuma brīdī, stāvvietai vai  transportlīdzekļa remonta vietai (tajā skaitā izdevumi par transportlīdzekļa evakuāciju no transportlīdzekļa īpašnieka vai tiesīgā lietotāja dzīvesvietas vai stāvvietas līdz transportlīdzekļa remonta vietai, ja pēc ceļu satiksmes negadījuma transportlīdzekli nav bijis iespējams uzreiz nogādāt līdz transportlīdzekļa remonta vietai). </w:t>
      </w:r>
      <w:r w:rsidRPr="00F80CD9">
        <w:rPr>
          <w:rFonts w:ascii="Times New Roman" w:eastAsia="Calibri" w:hAnsi="Times New Roman" w:cs="Times New Roman"/>
          <w:sz w:val="24"/>
          <w:szCs w:val="24"/>
        </w:rPr>
        <w:br/>
        <w:t xml:space="preserve"> 2) maksa par stāvvietas pakalpojumiem, ja sakarā ar izmeklēšanu kriminālprocesā vai citu iemeslu dēļ transportlīdzekli vai tā atliekas nepieciešams novietot stāvvietā. Šajā punktā minētos izdevumus atlīdzina: </w:t>
      </w:r>
      <w:r w:rsidRPr="00F80CD9">
        <w:rPr>
          <w:rFonts w:ascii="Times New Roman" w:eastAsia="Calibri" w:hAnsi="Times New Roman" w:cs="Times New Roman"/>
          <w:sz w:val="24"/>
          <w:szCs w:val="24"/>
        </w:rPr>
        <w:br/>
        <w:t>a) līdz brīdim, kad sakarā ar izmeklēšanu kriminālprocesā tiek dota atļauja no stāvvietas izņemt ceļu satiksmes</w:t>
      </w:r>
      <w:r w:rsidR="00900859">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negadījumā</w:t>
      </w:r>
      <w:r w:rsidR="00900859">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bojāto</w:t>
      </w:r>
      <w:r w:rsidR="00900859">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transportlīdzekli</w:t>
      </w:r>
      <w:r w:rsidR="00900859">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vai</w:t>
      </w:r>
      <w:r w:rsidR="00900859">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tā</w:t>
      </w:r>
      <w:r w:rsidR="00900859">
        <w:rPr>
          <w:rFonts w:ascii="Times New Roman" w:eastAsia="Calibri" w:hAnsi="Times New Roman" w:cs="Times New Roman"/>
          <w:sz w:val="24"/>
          <w:szCs w:val="24"/>
        </w:rPr>
        <w:t xml:space="preserve"> </w:t>
      </w:r>
      <w:r w:rsidRPr="00F80CD9">
        <w:rPr>
          <w:rFonts w:ascii="Times New Roman" w:eastAsia="Calibri" w:hAnsi="Times New Roman" w:cs="Times New Roman"/>
          <w:sz w:val="24"/>
          <w:szCs w:val="24"/>
        </w:rPr>
        <w:t xml:space="preserve">atliekas, </w:t>
      </w:r>
      <w:r w:rsidRPr="00F80CD9">
        <w:rPr>
          <w:rFonts w:ascii="Times New Roman" w:eastAsia="Calibri" w:hAnsi="Times New Roman" w:cs="Times New Roman"/>
          <w:sz w:val="24"/>
          <w:szCs w:val="24"/>
        </w:rPr>
        <w:br/>
        <w:t xml:space="preserve">b)  līdz 10 dienām citos gadījumos, izņemot ja transportlīdzekļa īpašniekam vai tiesīgajam lietotājam pastāv būtiski šķēršļi  izņemt transportlīdzekli vai tā atliekas no stāvvietas, bet jebkurā gadījumā ne </w:t>
      </w:r>
      <w:r w:rsidRPr="00F80CD9">
        <w:rPr>
          <w:rFonts w:ascii="Times New Roman" w:eastAsia="Calibri" w:hAnsi="Times New Roman" w:cs="Times New Roman"/>
          <w:sz w:val="24"/>
          <w:szCs w:val="24"/>
        </w:rPr>
        <w:lastRenderedPageBreak/>
        <w:t xml:space="preserve">vēlāk kā līdz brīdim, kad tiek pieņemts lēmums par apdrošināšanas atlīdzības izmaksu.   </w:t>
      </w:r>
      <w:r w:rsidRPr="00F80CD9">
        <w:rPr>
          <w:rFonts w:ascii="Times New Roman" w:eastAsia="Calibri" w:hAnsi="Times New Roman" w:cs="Times New Roman"/>
          <w:sz w:val="24"/>
          <w:szCs w:val="24"/>
        </w:rPr>
        <w:br/>
        <w:t>(2) Šā panta pirmajā daļā minētos izdevumus atlīdzina, ja pēc ceļu satiksmes negadījuma  nav  iespējama transportlīdzekļa dalība ceļu satiksmē vai nav bijis iespējams uzreiz novērst transportlīdzekļa bojājumus, kuru dēļ aizliegts ar transportlīdzekli piedalīties ceļu satiksmē, un ja šie izdevumi ir ekonomiski pamatoti.”</w:t>
      </w:r>
    </w:p>
    <w:p w14:paraId="2F4BC75B" w14:textId="11ED5809" w:rsidR="00F80CD9" w:rsidRDefault="00F80CD9" w:rsidP="002D0F87">
      <w:pPr>
        <w:spacing w:after="0" w:line="240" w:lineRule="auto"/>
        <w:jc w:val="both"/>
        <w:rPr>
          <w:rFonts w:ascii="Times New Roman" w:hAnsi="Times New Roman" w:cs="Times New Roman"/>
          <w:iCs/>
          <w:sz w:val="24"/>
          <w:szCs w:val="24"/>
        </w:rPr>
      </w:pPr>
    </w:p>
    <w:p w14:paraId="59571C32" w14:textId="77777777" w:rsidR="00F80CD9" w:rsidRDefault="00F80CD9" w:rsidP="002D0F87">
      <w:pPr>
        <w:spacing w:after="0" w:line="240" w:lineRule="auto"/>
        <w:jc w:val="both"/>
        <w:rPr>
          <w:rFonts w:ascii="Times New Roman" w:hAnsi="Times New Roman" w:cs="Times New Roman"/>
          <w:iCs/>
          <w:sz w:val="24"/>
          <w:szCs w:val="24"/>
        </w:rPr>
      </w:pPr>
    </w:p>
    <w:bookmarkEnd w:id="0"/>
    <w:p w14:paraId="494905D9" w14:textId="77777777" w:rsidR="00F03B50" w:rsidRPr="005325B4" w:rsidRDefault="00F03B50" w:rsidP="005924F9">
      <w:pPr>
        <w:spacing w:after="0" w:line="240" w:lineRule="auto"/>
        <w:rPr>
          <w:rFonts w:ascii="Times New Roman" w:hAnsi="Times New Roman" w:cs="Times New Roman"/>
          <w:sz w:val="24"/>
          <w:szCs w:val="24"/>
        </w:rPr>
      </w:pPr>
    </w:p>
    <w:p w14:paraId="277F5393" w14:textId="77777777" w:rsidR="004F5136" w:rsidRPr="005325B4" w:rsidRDefault="004F5136" w:rsidP="005325B4">
      <w:pPr>
        <w:spacing w:after="0" w:line="240" w:lineRule="auto"/>
        <w:jc w:val="both"/>
        <w:rPr>
          <w:rFonts w:ascii="Times New Roman" w:hAnsi="Times New Roman" w:cs="Times New Roman"/>
          <w:sz w:val="24"/>
          <w:szCs w:val="24"/>
        </w:rPr>
      </w:pPr>
      <w:r w:rsidRPr="005325B4">
        <w:rPr>
          <w:rFonts w:ascii="Times New Roman" w:hAnsi="Times New Roman" w:cs="Times New Roman"/>
          <w:sz w:val="24"/>
          <w:szCs w:val="24"/>
        </w:rPr>
        <w:t>Ar cieņu,</w:t>
      </w:r>
    </w:p>
    <w:p w14:paraId="5AB607CA" w14:textId="18356F8E" w:rsidR="004F5136" w:rsidRPr="005325B4" w:rsidRDefault="00EA6250" w:rsidP="005325B4">
      <w:pPr>
        <w:spacing w:after="0" w:line="240" w:lineRule="auto"/>
        <w:jc w:val="both"/>
        <w:rPr>
          <w:rFonts w:ascii="Times New Roman" w:hAnsi="Times New Roman" w:cs="Times New Roman"/>
          <w:sz w:val="24"/>
          <w:szCs w:val="24"/>
        </w:rPr>
      </w:pPr>
      <w:r w:rsidRPr="005325B4">
        <w:rPr>
          <w:rFonts w:ascii="Times New Roman" w:hAnsi="Times New Roman" w:cs="Times New Roman"/>
          <w:sz w:val="24"/>
          <w:szCs w:val="24"/>
        </w:rPr>
        <w:t xml:space="preserve">           LTAB valdes </w:t>
      </w:r>
      <w:r w:rsidR="0020715C" w:rsidRPr="005325B4">
        <w:rPr>
          <w:rFonts w:ascii="Times New Roman" w:hAnsi="Times New Roman" w:cs="Times New Roman"/>
          <w:sz w:val="24"/>
          <w:szCs w:val="24"/>
        </w:rPr>
        <w:t xml:space="preserve">priekšsēdētājs </w:t>
      </w:r>
      <w:r w:rsidRPr="005325B4">
        <w:rPr>
          <w:rFonts w:ascii="Times New Roman" w:hAnsi="Times New Roman" w:cs="Times New Roman"/>
          <w:sz w:val="24"/>
          <w:szCs w:val="24"/>
        </w:rPr>
        <w:t xml:space="preserve">                                                    </w:t>
      </w:r>
      <w:r w:rsidR="0020715C" w:rsidRPr="005325B4">
        <w:rPr>
          <w:rFonts w:ascii="Times New Roman" w:hAnsi="Times New Roman" w:cs="Times New Roman"/>
          <w:sz w:val="24"/>
          <w:szCs w:val="24"/>
        </w:rPr>
        <w:t>Jānis Abāšins</w:t>
      </w:r>
    </w:p>
    <w:p w14:paraId="1455C4F9" w14:textId="41D46389" w:rsidR="004F5136" w:rsidRDefault="004F5136" w:rsidP="005325B4">
      <w:pPr>
        <w:spacing w:after="0" w:line="240" w:lineRule="auto"/>
        <w:jc w:val="both"/>
        <w:rPr>
          <w:rFonts w:ascii="Times New Roman" w:hAnsi="Times New Roman" w:cs="Times New Roman"/>
          <w:sz w:val="24"/>
          <w:szCs w:val="24"/>
        </w:rPr>
      </w:pPr>
    </w:p>
    <w:p w14:paraId="0BFB497A" w14:textId="77777777" w:rsidR="001D1C28" w:rsidRPr="005325B4" w:rsidRDefault="001D1C28" w:rsidP="005325B4">
      <w:pPr>
        <w:spacing w:after="0" w:line="240" w:lineRule="auto"/>
        <w:jc w:val="both"/>
        <w:rPr>
          <w:rFonts w:ascii="Times New Roman" w:hAnsi="Times New Roman" w:cs="Times New Roman"/>
          <w:sz w:val="24"/>
          <w:szCs w:val="24"/>
        </w:rPr>
      </w:pPr>
    </w:p>
    <w:p w14:paraId="520038BC" w14:textId="5C8A9F59" w:rsidR="008B50AB" w:rsidRDefault="008B50AB" w:rsidP="005325B4">
      <w:pPr>
        <w:spacing w:after="0" w:line="240" w:lineRule="auto"/>
        <w:jc w:val="both"/>
        <w:rPr>
          <w:rFonts w:ascii="Times New Roman" w:eastAsia="Calibri" w:hAnsi="Times New Roman" w:cs="Times New Roman"/>
          <w:bCs/>
          <w:i/>
          <w:sz w:val="20"/>
          <w:szCs w:val="20"/>
        </w:rPr>
      </w:pPr>
    </w:p>
    <w:p w14:paraId="54172A01" w14:textId="77777777" w:rsidR="001D1C28" w:rsidRPr="008E195A" w:rsidRDefault="001D1C28" w:rsidP="005325B4">
      <w:pPr>
        <w:spacing w:after="0" w:line="240" w:lineRule="auto"/>
        <w:jc w:val="both"/>
        <w:rPr>
          <w:rFonts w:ascii="Times New Roman" w:hAnsi="Times New Roman" w:cs="Times New Roman"/>
        </w:rPr>
      </w:pPr>
    </w:p>
    <w:p w14:paraId="717BF397" w14:textId="422C3653" w:rsidR="00617E51" w:rsidRPr="001D1C28" w:rsidRDefault="008B50AB" w:rsidP="008E195A">
      <w:pPr>
        <w:spacing w:after="0" w:line="240" w:lineRule="auto"/>
        <w:jc w:val="center"/>
        <w:rPr>
          <w:rFonts w:ascii="Times New Roman" w:hAnsi="Times New Roman" w:cs="Times New Roman"/>
          <w:b/>
          <w:bCs/>
          <w:sz w:val="24"/>
          <w:szCs w:val="24"/>
        </w:rPr>
      </w:pPr>
      <w:r w:rsidRPr="001D1C28">
        <w:rPr>
          <w:rFonts w:ascii="Times New Roman" w:hAnsi="Times New Roman" w:cs="Times New Roman"/>
          <w:b/>
          <w:bCs/>
        </w:rPr>
        <w:t>DOKUMENTS PARAKSTĪTS AR DROŠU ELEKTRONISKO PARAKSTU UN SATUR LAIKA ZĪMOGU</w:t>
      </w:r>
    </w:p>
    <w:sectPr w:rsidR="00617E51" w:rsidRPr="001D1C28" w:rsidSect="0020715C">
      <w:headerReference w:type="default" r:id="rId15"/>
      <w:footerReference w:type="default" r:id="rId16"/>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EE057" w14:textId="77777777" w:rsidR="00D6208F" w:rsidRDefault="00D6208F" w:rsidP="00C62AF7">
      <w:pPr>
        <w:spacing w:after="0" w:line="240" w:lineRule="auto"/>
      </w:pPr>
      <w:r>
        <w:separator/>
      </w:r>
    </w:p>
  </w:endnote>
  <w:endnote w:type="continuationSeparator" w:id="0">
    <w:p w14:paraId="6EDB5919" w14:textId="77777777" w:rsidR="00D6208F" w:rsidRDefault="00D6208F" w:rsidP="00C62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BA"/>
    <w:family w:val="swiss"/>
    <w:pitch w:val="variable"/>
    <w:sig w:usb0="E4002EFF" w:usb1="C000E47F" w:usb2="00000009" w:usb3="00000000" w:csb0="000001FF" w:csb1="00000000"/>
  </w:font>
  <w:font w:name="Gotham Pro LT">
    <w:altName w:val="Calibri"/>
    <w:panose1 w:val="020B0604020202020204"/>
    <w:charset w:val="BA"/>
    <w:family w:val="auto"/>
    <w:pitch w:val="variable"/>
    <w:sig w:usb0="80000AAF" w:usb1="5000204A"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60DAA" w14:textId="77777777" w:rsidR="00C62AF7" w:rsidRDefault="00DF7698" w:rsidP="00C62AF7">
    <w:pPr>
      <w:pStyle w:val="Footer"/>
      <w:jc w:val="center"/>
    </w:pPr>
    <w:r>
      <w:rPr>
        <w:rFonts w:ascii="Times New Roman" w:hAnsi="Times New Roman" w:cs="Times New Roman"/>
        <w:noProof/>
        <w:sz w:val="24"/>
        <w:szCs w:val="24"/>
        <w:lang w:eastAsia="lv-LV"/>
      </w:rPr>
      <mc:AlternateContent>
        <mc:Choice Requires="wps">
          <w:drawing>
            <wp:anchor distT="36576" distB="36576" distL="36576" distR="36576" simplePos="0" relativeHeight="251659264" behindDoc="0" locked="0" layoutInCell="1" allowOverlap="1" wp14:anchorId="1295950B" wp14:editId="0F83880A">
              <wp:simplePos x="0" y="0"/>
              <wp:positionH relativeFrom="column">
                <wp:posOffset>-723900</wp:posOffset>
              </wp:positionH>
              <wp:positionV relativeFrom="paragraph">
                <wp:posOffset>115570</wp:posOffset>
              </wp:positionV>
              <wp:extent cx="7626985" cy="401955"/>
              <wp:effectExtent l="0" t="0" r="444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985" cy="4019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1CDCAA"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Biedrība “Latvijas Transportlīdzekļu apdrošinātāju birojs”, Reģ. Nr. 40008084453</w:t>
                          </w:r>
                        </w:p>
                        <w:p w14:paraId="444A4045"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iela 4, Rīga, LV-1003, Latvija Tālr.67114300, e-pasts: </w:t>
                          </w:r>
                          <w:hyperlink r:id="rId1"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2" w:history="1">
                            <w:r w:rsidRPr="00E3276D">
                              <w:rPr>
                                <w:rStyle w:val="Hyperlink"/>
                                <w:rFonts w:ascii="Gotham Pro LT" w:hAnsi="Gotham Pro LT" w:cs="Gotham Pro LT"/>
                                <w:color w:val="3B3838"/>
                                <w:sz w:val="18"/>
                                <w:szCs w:val="18"/>
                                <w:lang w:val="en-US"/>
                              </w:rPr>
                              <w:t>www.ltab.lv</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5950B" id="_x0000_t202" coordsize="21600,21600" o:spt="202" path="m,l,21600r21600,l21600,xe">
              <v:stroke joinstyle="miter"/>
              <v:path gradientshapeok="t" o:connecttype="rect"/>
            </v:shapetype>
            <v:shape id="Text Box 2" o:spid="_x0000_s1026" type="#_x0000_t202" style="position:absolute;left:0;text-align:left;margin-left:-57pt;margin-top:9.1pt;width:600.55pt;height:31.6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" filled="f" fillcolor="#5b9bd5" stroked="f" strokecolor="black [0]" strokeweight="2pt">
              <v:textbox inset="2.88pt,2.88pt,2.88pt,2.88pt">
                <w:txbxContent>
                  <w:p w14:paraId="4E1CDCAA"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proofErr w:type="spellStart"/>
                    <w:r w:rsidRPr="00E3276D">
                      <w:rPr>
                        <w:rFonts w:ascii="Gotham Pro LT" w:hAnsi="Gotham Pro LT" w:cs="Gotham Pro LT"/>
                        <w:color w:val="3B3838"/>
                        <w:sz w:val="18"/>
                        <w:szCs w:val="18"/>
                        <w:lang w:val="en-US"/>
                      </w:rPr>
                      <w:t>Biedrība</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Latvijas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Transportlīdzekļu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apdrošinātāju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birojs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Reģ</w:t>
                    </w:r>
                    <w:proofErr w:type="spellEnd"/>
                    <w:r w:rsidRPr="00E3276D">
                      <w:rPr>
                        <w:rFonts w:ascii="Gotham Pro LT" w:hAnsi="Gotham Pro LT" w:cs="Gotham Pro LT"/>
                        <w:color w:val="3B3838"/>
                        <w:sz w:val="18"/>
                        <w:szCs w:val="18"/>
                        <w:lang w:val="en-US"/>
                      </w:rPr>
                      <w:t>. Nr. 40008084453</w:t>
                    </w:r>
                  </w:p>
                  <w:p w14:paraId="444A4045"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w:t>
                    </w:r>
                    <w:proofErr w:type="spellStart"/>
                    <w:r w:rsidRPr="00E3276D">
                      <w:rPr>
                        <w:rFonts w:ascii="Gotham Pro LT" w:hAnsi="Gotham Pro LT" w:cs="Gotham Pro LT"/>
                        <w:color w:val="3B3838"/>
                        <w:sz w:val="18"/>
                        <w:szCs w:val="18"/>
                        <w:lang w:val="en-US"/>
                      </w:rPr>
                      <w:t>iela</w:t>
                    </w:r>
                    <w:proofErr w:type="spellEnd"/>
                    <w:r w:rsidRPr="00E3276D">
                      <w:rPr>
                        <w:rFonts w:ascii="Gotham Pro LT" w:hAnsi="Gotham Pro LT" w:cs="Gotham Pro LT"/>
                        <w:color w:val="3B3838"/>
                        <w:sz w:val="18"/>
                        <w:szCs w:val="18"/>
                        <w:lang w:val="en-US"/>
                      </w:rPr>
                      <w:t xml:space="preserve"> 4, </w:t>
                    </w:r>
                    <w:proofErr w:type="spellStart"/>
                    <w:r w:rsidRPr="00E3276D">
                      <w:rPr>
                        <w:rFonts w:ascii="Gotham Pro LT" w:hAnsi="Gotham Pro LT" w:cs="Gotham Pro LT"/>
                        <w:color w:val="3B3838"/>
                        <w:sz w:val="18"/>
                        <w:szCs w:val="18"/>
                        <w:lang w:val="en-US"/>
                      </w:rPr>
                      <w:t>Rīga</w:t>
                    </w:r>
                    <w:proofErr w:type="spellEnd"/>
                    <w:r w:rsidRPr="00E3276D">
                      <w:rPr>
                        <w:rFonts w:ascii="Gotham Pro LT" w:hAnsi="Gotham Pro LT" w:cs="Gotham Pro LT"/>
                        <w:color w:val="3B3838"/>
                        <w:sz w:val="18"/>
                        <w:szCs w:val="18"/>
                        <w:lang w:val="en-US"/>
                      </w:rPr>
                      <w:t xml:space="preserve">, LV-1003, </w:t>
                    </w:r>
                    <w:proofErr w:type="spellStart"/>
                    <w:r w:rsidRPr="00E3276D">
                      <w:rPr>
                        <w:rFonts w:ascii="Gotham Pro LT" w:hAnsi="Gotham Pro LT" w:cs="Gotham Pro LT"/>
                        <w:color w:val="3B3838"/>
                        <w:sz w:val="18"/>
                        <w:szCs w:val="18"/>
                        <w:lang w:val="en-US"/>
                      </w:rPr>
                      <w:t>Latvija</w:t>
                    </w:r>
                    <w:proofErr w:type="spellEnd"/>
                    <w:r w:rsidRPr="00E3276D">
                      <w:rPr>
                        <w:rFonts w:ascii="Gotham Pro LT" w:hAnsi="Gotham Pro LT" w:cs="Gotham Pro LT"/>
                        <w:color w:val="3B3838"/>
                        <w:sz w:val="18"/>
                        <w:szCs w:val="18"/>
                        <w:lang w:val="en-US"/>
                      </w:rPr>
                      <w:t xml:space="preserve"> Tālr.67114300, e-pasts: </w:t>
                    </w:r>
                    <w:hyperlink r:id="rId3"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4" w:history="1">
                      <w:r w:rsidRPr="00E3276D">
                        <w:rPr>
                          <w:rStyle w:val="Hyperlink"/>
                          <w:rFonts w:ascii="Gotham Pro LT" w:hAnsi="Gotham Pro LT" w:cs="Gotham Pro LT"/>
                          <w:color w:val="3B3838"/>
                          <w:sz w:val="18"/>
                          <w:szCs w:val="18"/>
                          <w:lang w:val="en-US"/>
                        </w:rPr>
                        <w:t>www.ltab.lv</w:t>
                      </w:r>
                    </w:hyperlink>
                  </w:p>
                </w:txbxContent>
              </v:textbox>
            </v:shape>
          </w:pict>
        </mc:Fallback>
      </mc:AlternateContent>
    </w:r>
    <w:r w:rsidR="00C62AF7">
      <w:rPr>
        <w:noProof/>
        <w:lang w:eastAsia="lv-LV"/>
      </w:rPr>
      <mc:AlternateContent>
        <mc:Choice Requires="wps">
          <w:drawing>
            <wp:anchor distT="0" distB="0" distL="114300" distR="114300" simplePos="0" relativeHeight="251657216" behindDoc="0" locked="0" layoutInCell="1" allowOverlap="1" wp14:anchorId="44068E39" wp14:editId="4A8AE916">
              <wp:simplePos x="0" y="0"/>
              <wp:positionH relativeFrom="column">
                <wp:posOffset>-304454</wp:posOffset>
              </wp:positionH>
              <wp:positionV relativeFrom="paragraph">
                <wp:posOffset>57612</wp:posOffset>
              </wp:positionV>
              <wp:extent cx="6716684" cy="8313"/>
              <wp:effectExtent l="0" t="0" r="27305" b="29845"/>
              <wp:wrapNone/>
              <wp:docPr id="1" name="Straight Connector 1"/>
              <wp:cNvGraphicFramePr/>
              <a:graphic xmlns:a="http://schemas.openxmlformats.org/drawingml/2006/main">
                <a:graphicData uri="http://schemas.microsoft.com/office/word/2010/wordprocessingShape">
                  <wps:wsp>
                    <wps:cNvCnPr/>
                    <wps:spPr>
                      <a:xfrm>
                        <a:off x="0" y="0"/>
                        <a:ext cx="6716684" cy="8313"/>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55D6E6"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3.95pt,4.55pt" to="504.9pt,5.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IctU8QEAADQEAAAOAAAAZHJzL2Uyb0RvYy54bWysU02P2yAQvVfqf0DcG9u7XTe14uwhq+2l H1G3/QEEg40EDAI2dv59B5w4u+2pVS/YDDNv3nsMm/vJaHIUPiiwLa1WJSXCcuiU7Vv688fjuzUl ITLbMQ1WtPQkAr3fvn2zGV0jbmAA3QlPEMSGZnQtHWJ0TVEEPgjDwgqcsHgowRsWcev7ovNsRHSj i5uyrIsRfOc8cBECRh/mQ7rN+FIKHr9JGUQkuqXILebV5/WQ1mK7YU3vmRsUP9Ng/8DCMGWx6QL1 wCIjz179AWUU9xBAxhUHU4CUiousAdVU5W9qngbmRNaC5gS32BT+Hyz/etx7ojq8O0osM3hFT9Ez 1Q+R7MBaNBA8qZJPowsNpu/s3p93we19Ej1Jb9IX5ZApe3tavBVTJByD9YeqrtfvKeF4tr6tbhNk ca11PsRPAgxJPy3VyiblrGHHzyHOqZeUFNaWjMj5Y3lX5rQAWnWPSut0mKdH7LQnR4b3fuirnKOf zRfo5lh9V5b59pHCkp4JvUDCM20xmJTPWvNfPGkxc/guJHqH6uYGC9Dcg3EubMzeZSTMTmUSWS6F Z/Zp3K+EXxee81OpyBP9N8VLRe4MNi7FRlnws3evu8fpQlnO+RcHZt3JggN0pzwF2Roczezc+Rml 2X+5z+XXx779BQAA//8DAFBLAwQUAAYACAAAACEAEhQumd4AAAAJAQAADwAAAGRycy9kb3ducmV2 LnhtbEyPwU7DMBBE70j8g7VI3Fo7qJAmjVOhIk5coAWpRzdeklB7HWI3CX+Pc4LbjmY0+6bYTtaw AXvfOpKQLAUwpMrplmoJ74fnxRqYD4q0Mo5Qwg962JbXV4XKtRvpDYd9qFksIZ8rCU0IXc65rxq0 yi9dhxS9T9dbFaLsa657NcZya/idEA/cqpbih0Z1uGuwOu8vVsJZT+nXZD/uX7+T4zDu0iezfjlI eXszPW6ABZzCXxhm/IgOZWQ6uQtpz4yExSrNYlRClgCbfSGyuOU0XyvgZcH/Lyh/AQAA//8DAFBL AQItABQABgAIAAAAIQC2gziS/gAAAOEBAAATAAAAAAAAAAAAAAAAAAAAAABbQ29udGVudF9UeXBl c10ueG1sUEsBAi0AFAAGAAgAAAAhADj9If/WAAAAlAEAAAsAAAAAAAAAAAAAAAAALwEAAF9yZWxz Ly5yZWxzUEsBAi0AFAAGAAgAAAAhABMhy1TxAQAANAQAAA4AAAAAAAAAAAAAAAAALgIAAGRycy9l Mm9Eb2MueG1sUEsBAi0AFAAGAAgAAAAhABIULpneAAAACQEAAA8AAAAAAAAAAAAAAAAASwQAAGRy cy9kb3ducmV2LnhtbFBLBQYAAAAABAAEAPMAAABWBQAAAAA= " strokecolor="#a5a5a5 [2092]" strokeweight="1.5pt"/>
          </w:pict>
        </mc:Fallback>
      </mc:AlternateContent>
    </w:r>
  </w:p>
  <w:p w14:paraId="56670D7F" w14:textId="77777777" w:rsidR="00C62AF7" w:rsidRDefault="00C62AF7" w:rsidP="00C62AF7">
    <w:pPr>
      <w:pStyle w:val="Footer"/>
      <w:jc w:val="center"/>
    </w:pPr>
  </w:p>
  <w:p w14:paraId="4A7D99B4" w14:textId="77777777" w:rsidR="00C62AF7" w:rsidRDefault="00C62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4CFEB" w14:textId="77777777" w:rsidR="00D6208F" w:rsidRDefault="00D6208F" w:rsidP="00C62AF7">
      <w:pPr>
        <w:spacing w:after="0" w:line="240" w:lineRule="auto"/>
      </w:pPr>
      <w:r>
        <w:separator/>
      </w:r>
    </w:p>
  </w:footnote>
  <w:footnote w:type="continuationSeparator" w:id="0">
    <w:p w14:paraId="3C144A77" w14:textId="77777777" w:rsidR="00D6208F" w:rsidRDefault="00D6208F" w:rsidP="00C62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957" w14:textId="77777777" w:rsidR="00C62AF7" w:rsidRDefault="00FA4202">
    <w:pPr>
      <w:pStyle w:val="Header"/>
    </w:pPr>
    <w:r>
      <w:rPr>
        <w:noProof/>
        <w:lang w:eastAsia="lv-LV"/>
      </w:rPr>
      <w:drawing>
        <wp:inline distT="0" distB="0" distL="0" distR="0" wp14:anchorId="27B13F0A" wp14:editId="55CC1D87">
          <wp:extent cx="1353107" cy="684000"/>
          <wp:effectExtent l="0" t="0" r="0" b="1905"/>
          <wp:docPr id="3" name="Picture 3" descr="A picture containing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LV_PNG.png"/>
                  <pic:cNvPicPr/>
                </pic:nvPicPr>
                <pic:blipFill>
                  <a:blip r:embed="rId1">
                    <a:extLst>
                      <a:ext uri="{28A0092B-C50C-407E-A947-70E740481C1C}">
                        <a14:useLocalDpi xmlns:a14="http://schemas.microsoft.com/office/drawing/2010/main" val="0"/>
                      </a:ext>
                    </a:extLst>
                  </a:blip>
                  <a:stretch>
                    <a:fillRect/>
                  </a:stretch>
                </pic:blipFill>
                <pic:spPr>
                  <a:xfrm>
                    <a:off x="0" y="0"/>
                    <a:ext cx="1353107" cy="684000"/>
                  </a:xfrm>
                  <a:prstGeom prst="rect">
                    <a:avLst/>
                  </a:prstGeom>
                </pic:spPr>
              </pic:pic>
            </a:graphicData>
          </a:graphic>
        </wp:inline>
      </w:drawing>
    </w:r>
  </w:p>
  <w:p w14:paraId="6CA7E135" w14:textId="77777777" w:rsidR="00C62AF7" w:rsidRDefault="00C62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86478"/>
    <w:multiLevelType w:val="hybridMultilevel"/>
    <w:tmpl w:val="52A041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0F3961"/>
    <w:multiLevelType w:val="hybridMultilevel"/>
    <w:tmpl w:val="C1FC6DD4"/>
    <w:lvl w:ilvl="0" w:tplc="A1303334">
      <w:start w:val="1"/>
      <w:numFmt w:val="bullet"/>
      <w:lvlText w:val="-"/>
      <w:lvlJc w:val="left"/>
      <w:pPr>
        <w:ind w:left="987" w:hanging="360"/>
      </w:pPr>
      <w:rPr>
        <w:rFonts w:ascii="Times New Roman" w:eastAsiaTheme="minorHAnsi" w:hAnsi="Times New Roman" w:cs="Times New Roman" w:hint="default"/>
      </w:rPr>
    </w:lvl>
    <w:lvl w:ilvl="1" w:tplc="04260003" w:tentative="1">
      <w:start w:val="1"/>
      <w:numFmt w:val="bullet"/>
      <w:lvlText w:val="o"/>
      <w:lvlJc w:val="left"/>
      <w:pPr>
        <w:ind w:left="1707" w:hanging="360"/>
      </w:pPr>
      <w:rPr>
        <w:rFonts w:ascii="Courier New" w:hAnsi="Courier New" w:cs="Courier New" w:hint="default"/>
      </w:rPr>
    </w:lvl>
    <w:lvl w:ilvl="2" w:tplc="04260005" w:tentative="1">
      <w:start w:val="1"/>
      <w:numFmt w:val="bullet"/>
      <w:lvlText w:val=""/>
      <w:lvlJc w:val="left"/>
      <w:pPr>
        <w:ind w:left="2427" w:hanging="360"/>
      </w:pPr>
      <w:rPr>
        <w:rFonts w:ascii="Wingdings" w:hAnsi="Wingdings" w:hint="default"/>
      </w:rPr>
    </w:lvl>
    <w:lvl w:ilvl="3" w:tplc="04260001" w:tentative="1">
      <w:start w:val="1"/>
      <w:numFmt w:val="bullet"/>
      <w:lvlText w:val=""/>
      <w:lvlJc w:val="left"/>
      <w:pPr>
        <w:ind w:left="3147" w:hanging="360"/>
      </w:pPr>
      <w:rPr>
        <w:rFonts w:ascii="Symbol" w:hAnsi="Symbol" w:hint="default"/>
      </w:rPr>
    </w:lvl>
    <w:lvl w:ilvl="4" w:tplc="04260003" w:tentative="1">
      <w:start w:val="1"/>
      <w:numFmt w:val="bullet"/>
      <w:lvlText w:val="o"/>
      <w:lvlJc w:val="left"/>
      <w:pPr>
        <w:ind w:left="3867" w:hanging="360"/>
      </w:pPr>
      <w:rPr>
        <w:rFonts w:ascii="Courier New" w:hAnsi="Courier New" w:cs="Courier New" w:hint="default"/>
      </w:rPr>
    </w:lvl>
    <w:lvl w:ilvl="5" w:tplc="04260005" w:tentative="1">
      <w:start w:val="1"/>
      <w:numFmt w:val="bullet"/>
      <w:lvlText w:val=""/>
      <w:lvlJc w:val="left"/>
      <w:pPr>
        <w:ind w:left="4587" w:hanging="360"/>
      </w:pPr>
      <w:rPr>
        <w:rFonts w:ascii="Wingdings" w:hAnsi="Wingdings" w:hint="default"/>
      </w:rPr>
    </w:lvl>
    <w:lvl w:ilvl="6" w:tplc="04260001" w:tentative="1">
      <w:start w:val="1"/>
      <w:numFmt w:val="bullet"/>
      <w:lvlText w:val=""/>
      <w:lvlJc w:val="left"/>
      <w:pPr>
        <w:ind w:left="5307" w:hanging="360"/>
      </w:pPr>
      <w:rPr>
        <w:rFonts w:ascii="Symbol" w:hAnsi="Symbol" w:hint="default"/>
      </w:rPr>
    </w:lvl>
    <w:lvl w:ilvl="7" w:tplc="04260003" w:tentative="1">
      <w:start w:val="1"/>
      <w:numFmt w:val="bullet"/>
      <w:lvlText w:val="o"/>
      <w:lvlJc w:val="left"/>
      <w:pPr>
        <w:ind w:left="6027" w:hanging="360"/>
      </w:pPr>
      <w:rPr>
        <w:rFonts w:ascii="Courier New" w:hAnsi="Courier New" w:cs="Courier New" w:hint="default"/>
      </w:rPr>
    </w:lvl>
    <w:lvl w:ilvl="8" w:tplc="04260005" w:tentative="1">
      <w:start w:val="1"/>
      <w:numFmt w:val="bullet"/>
      <w:lvlText w:val=""/>
      <w:lvlJc w:val="left"/>
      <w:pPr>
        <w:ind w:left="6747" w:hanging="360"/>
      </w:pPr>
      <w:rPr>
        <w:rFonts w:ascii="Wingdings" w:hAnsi="Wingdings" w:hint="default"/>
      </w:rPr>
    </w:lvl>
  </w:abstractNum>
  <w:abstractNum w:abstractNumId="2" w15:restartNumberingAfterBreak="0">
    <w:nsid w:val="22E14874"/>
    <w:multiLevelType w:val="hybridMultilevel"/>
    <w:tmpl w:val="B90480A0"/>
    <w:lvl w:ilvl="0" w:tplc="B8924D1C">
      <w:start w:val="1"/>
      <w:numFmt w:val="bullet"/>
      <w:lvlText w:val="-"/>
      <w:lvlJc w:val="left"/>
      <w:pPr>
        <w:ind w:left="405" w:hanging="360"/>
      </w:pPr>
      <w:rPr>
        <w:rFonts w:ascii="Times New Roman" w:eastAsiaTheme="minorHAnsi" w:hAnsi="Times New Roman" w:cs="Times New Roman" w:hint="default"/>
      </w:rPr>
    </w:lvl>
    <w:lvl w:ilvl="1" w:tplc="04260003">
      <w:start w:val="1"/>
      <w:numFmt w:val="bullet"/>
      <w:lvlText w:val="o"/>
      <w:lvlJc w:val="left"/>
      <w:pPr>
        <w:ind w:left="1125" w:hanging="360"/>
      </w:pPr>
      <w:rPr>
        <w:rFonts w:ascii="Courier New" w:hAnsi="Courier New" w:cs="Courier New" w:hint="default"/>
      </w:rPr>
    </w:lvl>
    <w:lvl w:ilvl="2" w:tplc="04260005">
      <w:start w:val="1"/>
      <w:numFmt w:val="bullet"/>
      <w:lvlText w:val=""/>
      <w:lvlJc w:val="left"/>
      <w:pPr>
        <w:ind w:left="1845" w:hanging="360"/>
      </w:pPr>
      <w:rPr>
        <w:rFonts w:ascii="Wingdings" w:hAnsi="Wingdings" w:hint="default"/>
      </w:rPr>
    </w:lvl>
    <w:lvl w:ilvl="3" w:tplc="04260001">
      <w:start w:val="1"/>
      <w:numFmt w:val="bullet"/>
      <w:lvlText w:val=""/>
      <w:lvlJc w:val="left"/>
      <w:pPr>
        <w:ind w:left="2565" w:hanging="360"/>
      </w:pPr>
      <w:rPr>
        <w:rFonts w:ascii="Symbol" w:hAnsi="Symbol" w:hint="default"/>
      </w:rPr>
    </w:lvl>
    <w:lvl w:ilvl="4" w:tplc="04260003">
      <w:start w:val="1"/>
      <w:numFmt w:val="bullet"/>
      <w:lvlText w:val="o"/>
      <w:lvlJc w:val="left"/>
      <w:pPr>
        <w:ind w:left="3285" w:hanging="360"/>
      </w:pPr>
      <w:rPr>
        <w:rFonts w:ascii="Courier New" w:hAnsi="Courier New" w:cs="Courier New" w:hint="default"/>
      </w:rPr>
    </w:lvl>
    <w:lvl w:ilvl="5" w:tplc="04260005">
      <w:start w:val="1"/>
      <w:numFmt w:val="bullet"/>
      <w:lvlText w:val=""/>
      <w:lvlJc w:val="left"/>
      <w:pPr>
        <w:ind w:left="4005" w:hanging="360"/>
      </w:pPr>
      <w:rPr>
        <w:rFonts w:ascii="Wingdings" w:hAnsi="Wingdings" w:hint="default"/>
      </w:rPr>
    </w:lvl>
    <w:lvl w:ilvl="6" w:tplc="04260001">
      <w:start w:val="1"/>
      <w:numFmt w:val="bullet"/>
      <w:lvlText w:val=""/>
      <w:lvlJc w:val="left"/>
      <w:pPr>
        <w:ind w:left="4725" w:hanging="360"/>
      </w:pPr>
      <w:rPr>
        <w:rFonts w:ascii="Symbol" w:hAnsi="Symbol" w:hint="default"/>
      </w:rPr>
    </w:lvl>
    <w:lvl w:ilvl="7" w:tplc="04260003">
      <w:start w:val="1"/>
      <w:numFmt w:val="bullet"/>
      <w:lvlText w:val="o"/>
      <w:lvlJc w:val="left"/>
      <w:pPr>
        <w:ind w:left="5445" w:hanging="360"/>
      </w:pPr>
      <w:rPr>
        <w:rFonts w:ascii="Courier New" w:hAnsi="Courier New" w:cs="Courier New" w:hint="default"/>
      </w:rPr>
    </w:lvl>
    <w:lvl w:ilvl="8" w:tplc="04260005">
      <w:start w:val="1"/>
      <w:numFmt w:val="bullet"/>
      <w:lvlText w:val=""/>
      <w:lvlJc w:val="left"/>
      <w:pPr>
        <w:ind w:left="6165" w:hanging="360"/>
      </w:pPr>
      <w:rPr>
        <w:rFonts w:ascii="Wingdings" w:hAnsi="Wingdings" w:hint="default"/>
      </w:rPr>
    </w:lvl>
  </w:abstractNum>
  <w:abstractNum w:abstractNumId="3" w15:restartNumberingAfterBreak="0">
    <w:nsid w:val="32F4045A"/>
    <w:multiLevelType w:val="hybridMultilevel"/>
    <w:tmpl w:val="0D26BC24"/>
    <w:lvl w:ilvl="0" w:tplc="97EE2294">
      <w:start w:val="20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A05817"/>
    <w:multiLevelType w:val="hybridMultilevel"/>
    <w:tmpl w:val="47D2DB3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3C34B1B"/>
    <w:multiLevelType w:val="hybridMultilevel"/>
    <w:tmpl w:val="7F542022"/>
    <w:lvl w:ilvl="0" w:tplc="866443D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46702480">
    <w:abstractNumId w:val="2"/>
  </w:num>
  <w:num w:numId="2" w16cid:durableId="2071073001">
    <w:abstractNumId w:val="1"/>
  </w:num>
  <w:num w:numId="3" w16cid:durableId="1443844597">
    <w:abstractNumId w:val="3"/>
  </w:num>
  <w:num w:numId="4" w16cid:durableId="2006934486">
    <w:abstractNumId w:val="4"/>
  </w:num>
  <w:num w:numId="5" w16cid:durableId="183982089">
    <w:abstractNumId w:val="5"/>
  </w:num>
  <w:num w:numId="6" w16cid:durableId="2026394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AF7"/>
    <w:rsid w:val="000071C0"/>
    <w:rsid w:val="000160DC"/>
    <w:rsid w:val="000417ED"/>
    <w:rsid w:val="00050A60"/>
    <w:rsid w:val="00083ABB"/>
    <w:rsid w:val="000A7BA4"/>
    <w:rsid w:val="000E1C68"/>
    <w:rsid w:val="00115092"/>
    <w:rsid w:val="00116858"/>
    <w:rsid w:val="00134310"/>
    <w:rsid w:val="0016691D"/>
    <w:rsid w:val="00176C2F"/>
    <w:rsid w:val="00183A02"/>
    <w:rsid w:val="00184CFB"/>
    <w:rsid w:val="001902DA"/>
    <w:rsid w:val="001C4451"/>
    <w:rsid w:val="001D1C28"/>
    <w:rsid w:val="001D67DB"/>
    <w:rsid w:val="001E3350"/>
    <w:rsid w:val="001E57C6"/>
    <w:rsid w:val="001F346C"/>
    <w:rsid w:val="0020715C"/>
    <w:rsid w:val="00210146"/>
    <w:rsid w:val="00240D88"/>
    <w:rsid w:val="00266411"/>
    <w:rsid w:val="00292B95"/>
    <w:rsid w:val="00292E21"/>
    <w:rsid w:val="00294232"/>
    <w:rsid w:val="002D0F87"/>
    <w:rsid w:val="003042BB"/>
    <w:rsid w:val="00327880"/>
    <w:rsid w:val="0033734E"/>
    <w:rsid w:val="00344ADD"/>
    <w:rsid w:val="0036626C"/>
    <w:rsid w:val="003813FA"/>
    <w:rsid w:val="003B77E1"/>
    <w:rsid w:val="00427C10"/>
    <w:rsid w:val="00467B11"/>
    <w:rsid w:val="0048555D"/>
    <w:rsid w:val="004A0A9F"/>
    <w:rsid w:val="004C39DE"/>
    <w:rsid w:val="004F5136"/>
    <w:rsid w:val="005325B4"/>
    <w:rsid w:val="005526D9"/>
    <w:rsid w:val="005537FD"/>
    <w:rsid w:val="00585473"/>
    <w:rsid w:val="005924F9"/>
    <w:rsid w:val="00592A07"/>
    <w:rsid w:val="005B603C"/>
    <w:rsid w:val="005C6D31"/>
    <w:rsid w:val="005D556F"/>
    <w:rsid w:val="005F6C8E"/>
    <w:rsid w:val="00617E51"/>
    <w:rsid w:val="00623508"/>
    <w:rsid w:val="00677174"/>
    <w:rsid w:val="0068079D"/>
    <w:rsid w:val="006A673C"/>
    <w:rsid w:val="006C5763"/>
    <w:rsid w:val="006E1119"/>
    <w:rsid w:val="00717668"/>
    <w:rsid w:val="00730958"/>
    <w:rsid w:val="00736ABD"/>
    <w:rsid w:val="00750EBF"/>
    <w:rsid w:val="00752B73"/>
    <w:rsid w:val="00765EF4"/>
    <w:rsid w:val="0078465E"/>
    <w:rsid w:val="007D3848"/>
    <w:rsid w:val="007E5777"/>
    <w:rsid w:val="007F0165"/>
    <w:rsid w:val="0080115C"/>
    <w:rsid w:val="00863FA3"/>
    <w:rsid w:val="008716A7"/>
    <w:rsid w:val="00880F5D"/>
    <w:rsid w:val="008938E4"/>
    <w:rsid w:val="008B50AB"/>
    <w:rsid w:val="008D53F1"/>
    <w:rsid w:val="008E195A"/>
    <w:rsid w:val="008E2A35"/>
    <w:rsid w:val="00900859"/>
    <w:rsid w:val="009076D3"/>
    <w:rsid w:val="00914896"/>
    <w:rsid w:val="00923F46"/>
    <w:rsid w:val="009350BA"/>
    <w:rsid w:val="009367AA"/>
    <w:rsid w:val="00972B05"/>
    <w:rsid w:val="00984065"/>
    <w:rsid w:val="009902A4"/>
    <w:rsid w:val="009C2E42"/>
    <w:rsid w:val="009C70CE"/>
    <w:rsid w:val="009E08CF"/>
    <w:rsid w:val="00A02054"/>
    <w:rsid w:val="00A470CE"/>
    <w:rsid w:val="00A47707"/>
    <w:rsid w:val="00A53208"/>
    <w:rsid w:val="00A77EDD"/>
    <w:rsid w:val="00A921DD"/>
    <w:rsid w:val="00AB28BC"/>
    <w:rsid w:val="00BC704E"/>
    <w:rsid w:val="00BD6BF8"/>
    <w:rsid w:val="00C52947"/>
    <w:rsid w:val="00C62AF7"/>
    <w:rsid w:val="00C8214C"/>
    <w:rsid w:val="00CB6B18"/>
    <w:rsid w:val="00CC4B09"/>
    <w:rsid w:val="00CD44EC"/>
    <w:rsid w:val="00CD64DC"/>
    <w:rsid w:val="00CF49DA"/>
    <w:rsid w:val="00D3055C"/>
    <w:rsid w:val="00D3206B"/>
    <w:rsid w:val="00D6208F"/>
    <w:rsid w:val="00D65956"/>
    <w:rsid w:val="00DA2757"/>
    <w:rsid w:val="00DC524F"/>
    <w:rsid w:val="00DC639F"/>
    <w:rsid w:val="00DD2A00"/>
    <w:rsid w:val="00DF2B07"/>
    <w:rsid w:val="00DF7698"/>
    <w:rsid w:val="00E164CD"/>
    <w:rsid w:val="00E3276D"/>
    <w:rsid w:val="00E6326D"/>
    <w:rsid w:val="00E94565"/>
    <w:rsid w:val="00E97DE0"/>
    <w:rsid w:val="00EA4D16"/>
    <w:rsid w:val="00EA6250"/>
    <w:rsid w:val="00EC0610"/>
    <w:rsid w:val="00F03B50"/>
    <w:rsid w:val="00F1581B"/>
    <w:rsid w:val="00F80CD9"/>
    <w:rsid w:val="00F95CA6"/>
    <w:rsid w:val="00FA2DD3"/>
    <w:rsid w:val="00FA4202"/>
    <w:rsid w:val="00FB1A48"/>
    <w:rsid w:val="00FC2557"/>
    <w:rsid w:val="00FD16D5"/>
    <w:rsid w:val="00FD2B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8E9BB"/>
  <w15:docId w15:val="{7B4080A5-EF5C-48F4-A611-2D371AAC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Hyperlink">
    <w:name w:val="Hyperlink"/>
    <w:basedOn w:val="DefaultParagraphFont"/>
    <w:uiPriority w:val="99"/>
    <w:unhideWhenUsed/>
    <w:rsid w:val="00DF7698"/>
    <w:rPr>
      <w:color w:val="085296"/>
      <w:u w:val="single"/>
    </w:rPr>
  </w:style>
  <w:style w:type="paragraph" w:styleId="CommentText">
    <w:name w:val="annotation text"/>
    <w:basedOn w:val="Normal"/>
    <w:link w:val="CommentTextChar"/>
    <w:uiPriority w:val="99"/>
    <w:semiHidden/>
    <w:unhideWhenUsed/>
    <w:rsid w:val="004F5136"/>
    <w:pPr>
      <w:spacing w:after="0" w:line="240" w:lineRule="auto"/>
    </w:pPr>
    <w:rPr>
      <w:rFonts w:ascii="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4F5136"/>
    <w:rPr>
      <w:rFonts w:ascii="Times New Roman" w:hAnsi="Times New Roman" w:cs="Times New Roman"/>
      <w:sz w:val="20"/>
      <w:szCs w:val="20"/>
      <w:lang w:eastAsia="lv-LV"/>
    </w:rPr>
  </w:style>
  <w:style w:type="paragraph" w:customStyle="1" w:styleId="doc-ti">
    <w:name w:val="doc-ti"/>
    <w:basedOn w:val="Normal"/>
    <w:rsid w:val="004F513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F5136"/>
    <w:rPr>
      <w:sz w:val="16"/>
      <w:szCs w:val="16"/>
    </w:rPr>
  </w:style>
  <w:style w:type="paragraph" w:styleId="ListParagraph">
    <w:name w:val="List Paragraph"/>
    <w:basedOn w:val="Normal"/>
    <w:uiPriority w:val="34"/>
    <w:qFormat/>
    <w:rsid w:val="00D3206B"/>
    <w:pPr>
      <w:ind w:left="720"/>
      <w:contextualSpacing/>
    </w:pPr>
  </w:style>
  <w:style w:type="character" w:customStyle="1" w:styleId="UnresolvedMention1">
    <w:name w:val="Unresolved Mention1"/>
    <w:basedOn w:val="DefaultParagraphFont"/>
    <w:uiPriority w:val="99"/>
    <w:semiHidden/>
    <w:unhideWhenUsed/>
    <w:rsid w:val="009C2E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10146"/>
    <w:pPr>
      <w:spacing w:after="200"/>
    </w:pPr>
    <w:rPr>
      <w:rFonts w:ascii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10146"/>
    <w:rPr>
      <w:rFonts w:ascii="Times New Roman" w:hAnsi="Times New Roman" w:cs="Times New Roman"/>
      <w:b/>
      <w:bCs/>
      <w:sz w:val="20"/>
      <w:szCs w:val="20"/>
      <w:lang w:eastAsia="lv-LV"/>
    </w:rPr>
  </w:style>
  <w:style w:type="character" w:styleId="Strong">
    <w:name w:val="Strong"/>
    <w:basedOn w:val="DefaultParagraphFont"/>
    <w:uiPriority w:val="22"/>
    <w:qFormat/>
    <w:rsid w:val="0020715C"/>
    <w:rPr>
      <w:b/>
      <w:bCs/>
    </w:rPr>
  </w:style>
  <w:style w:type="paragraph" w:customStyle="1" w:styleId="tv213">
    <w:name w:val="tv213"/>
    <w:basedOn w:val="Normal"/>
    <w:rsid w:val="002071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292E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2E21"/>
    <w:rPr>
      <w:sz w:val="20"/>
      <w:szCs w:val="20"/>
    </w:rPr>
  </w:style>
  <w:style w:type="character" w:styleId="FootnoteReference">
    <w:name w:val="footnote reference"/>
    <w:basedOn w:val="DefaultParagraphFont"/>
    <w:uiPriority w:val="99"/>
    <w:semiHidden/>
    <w:unhideWhenUsed/>
    <w:rsid w:val="00292E21"/>
    <w:rPr>
      <w:vertAlign w:val="superscript"/>
    </w:rPr>
  </w:style>
  <w:style w:type="character" w:styleId="UnresolvedMention">
    <w:name w:val="Unresolved Mention"/>
    <w:basedOn w:val="DefaultParagraphFont"/>
    <w:uiPriority w:val="99"/>
    <w:semiHidden/>
    <w:unhideWhenUsed/>
    <w:rsid w:val="002D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04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t.gov.lv/files/uploads/files/6_Judikatura/Tiesu_prakses_apkopojumi/2015/OCTA%20tiesu%20prakses%20apkopojums_21-07-2016.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se.Albova@f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fm.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bx.org/index.php/article/45/gc-system-composed-green-card-bureaux-48-countries-participating-syste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ltab@ltab.lv" TargetMode="External"/><Relationship Id="rId2" Type="http://schemas.openxmlformats.org/officeDocument/2006/relationships/hyperlink" Target="http://www.ltab.lv" TargetMode="External"/><Relationship Id="rId1" Type="http://schemas.openxmlformats.org/officeDocument/2006/relationships/hyperlink" Target="mailto:ltab@ltab.lv" TargetMode="External"/><Relationship Id="rId4" Type="http://schemas.openxmlformats.org/officeDocument/2006/relationships/hyperlink" Target="http://www.ltab.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28C1A1C0DE2DA44BDEE73C4E3D7B086" ma:contentTypeVersion="2" ma:contentTypeDescription="Izveidot jaunu dokumentu." ma:contentTypeScope="" ma:versionID="4ca084055617e861580c48511d31578d">
  <xsd:schema xmlns:xsd="http://www.w3.org/2001/XMLSchema" xmlns:xs="http://www.w3.org/2001/XMLSchema" xmlns:p="http://schemas.microsoft.com/office/2006/metadata/properties" xmlns:ns2="f123fc61-7915-4898-8636-52bfc24319d4" xmlns:ns3="80613d6c-201e-4be1-b27a-7e1bf41d8677" targetNamespace="http://schemas.microsoft.com/office/2006/metadata/properties" ma:root="true" ma:fieldsID="5c70bb87f1cda58eb890363d9fc7b705" ns2:_="" ns3:_="">
    <xsd:import namespace="f123fc61-7915-4898-8636-52bfc24319d4"/>
    <xsd:import namespace="80613d6c-201e-4be1-b27a-7e1bf41d8677"/>
    <xsd:element name="properties">
      <xsd:complexType>
        <xsd:sequence>
          <xsd:element name="documentManagement">
            <xsd:complexType>
              <xsd:all>
                <xsd:element ref="ns2:DokRegDatums" minOccurs="0"/>
                <xsd:element ref="ns2:DokParakstitaji" minOccurs="0"/>
                <xsd:element ref="ns2:DokNumurs" minOccurs="0"/>
                <xsd:element ref="ns3:D320F758A3D245D2A7D76018125F5A02"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3fc61-7915-4898-8636-52bfc24319d4" elementFormDefault="qualified">
    <xsd:import namespace="http://schemas.microsoft.com/office/2006/documentManagement/types"/>
    <xsd:import namespace="http://schemas.microsoft.com/office/infopath/2007/PartnerControls"/>
    <xsd:element name="DokRegDatums" ma:index="8" nillable="true" ma:displayName="Reģistrēšanas datums" ma:default="" ma:format="DateOnly" ma:internalName="DokRegDatums" ma:readOnly="false">
      <xsd:simpleType>
        <xsd:restriction base="dms:DateTime"/>
      </xsd:simpleType>
    </xsd:element>
    <xsd:element name="DokParakstitaji" ma:index="9" nillable="true" ma:displayName="Parakstītāji (LTAB)" ma:description="" ma:list="UserInfo" ma:SharePointGroup="0" ma:internalName="DokParakstitaj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Numurs" ma:index="10" nillable="true" ma:displayName="LTAB numurs" ma:default="" ma:internalName="DokNumur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13d6c-201e-4be1-b27a-7e1bf41d8677" elementFormDefault="qualified">
    <xsd:import namespace="http://schemas.microsoft.com/office/2006/documentManagement/types"/>
    <xsd:import namespace="http://schemas.microsoft.com/office/infopath/2007/PartnerControls"/>
    <xsd:element name="D320F758A3D245D2A7D76018125F5A02" ma:index="11" nillable="true" ma:taxonomy="true" ma:internalName="D320F758A3D245D2A7D76018125F5A02" ma:taxonomyFieldName="Dokumenta_x0020_veids" ma:displayName="Faila veids" ma:default="" ma:fieldId="{d320f758-a3d2-45d2-a7d7-6018125f5a02}" ma:sspId="1ac5e261-a64d-4ceb-a974-e4061fbbeb5b" ma:termSetId="5a451c67-2bb4-406f-81c0-e9b1733a13e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0e8c042-24be-4595-97e5-6654cf41011a}" ma:internalName="TaxCatchAll" ma:showField="CatchAllData" ma:web="f123fc61-7915-4898-8636-52bfc24319d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0e8c042-24be-4595-97e5-6654cf41011a}" ma:internalName="TaxCatchAllLabel" ma:readOnly="true" ma:showField="CatchAllDataLabel" ma:web="f123fc61-7915-4898-8636-52bfc2431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0613d6c-201e-4be1-b27a-7e1bf41d8677"/>
    <DokParakstitaji xmlns="f123fc61-7915-4898-8636-52bfc24319d4">
      <UserInfo>
        <DisplayName>Jānis Abāšins</DisplayName>
        <AccountId>31</AccountId>
        <AccountType/>
      </UserInfo>
    </DokParakstitaji>
    <DokRegDatums xmlns="f123fc61-7915-4898-8636-52bfc24319d4">2020-08-14T07:10:45+00:00</DokRegDatums>
    <DokNumurs xmlns="f123fc61-7915-4898-8636-52bfc24319d4">07/02-16/126</DokNumurs>
    <D320F758A3D245D2A7D76018125F5A02 xmlns="80613d6c-201e-4be1-b27a-7e1bf41d8677">
      <Terms xmlns="http://schemas.microsoft.com/office/infopath/2007/PartnerControls"/>
    </D320F758A3D245D2A7D76018125F5A02>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62132-1A5E-4FC5-AD5B-D4DC34CBA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3fc61-7915-4898-8636-52bfc24319d4"/>
    <ds:schemaRef ds:uri="80613d6c-201e-4be1-b27a-7e1bf41d8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D14C43-5BA4-488E-BBDB-1F2E7FF06530}">
  <ds:schemaRefs>
    <ds:schemaRef ds:uri="http://schemas.microsoft.com/office/2006/metadata/properties"/>
    <ds:schemaRef ds:uri="http://schemas.microsoft.com/office/infopath/2007/PartnerControls"/>
    <ds:schemaRef ds:uri="80613d6c-201e-4be1-b27a-7e1bf41d8677"/>
    <ds:schemaRef ds:uri="f123fc61-7915-4898-8636-52bfc24319d4"/>
  </ds:schemaRefs>
</ds:datastoreItem>
</file>

<file path=customXml/itemProps3.xml><?xml version="1.0" encoding="utf-8"?>
<ds:datastoreItem xmlns:ds="http://schemas.openxmlformats.org/officeDocument/2006/customXml" ds:itemID="{B9A6F7A6-D7B2-4AB3-ADFB-23B4FB55F415}">
  <ds:schemaRefs>
    <ds:schemaRef ds:uri="http://schemas.openxmlformats.org/officeDocument/2006/bibliography"/>
  </ds:schemaRefs>
</ds:datastoreItem>
</file>

<file path=customXml/itemProps4.xml><?xml version="1.0" encoding="utf-8"?>
<ds:datastoreItem xmlns:ds="http://schemas.openxmlformats.org/officeDocument/2006/customXml" ds:itemID="{C4AF8E5C-ADC1-46FE-8187-7885DD331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9561</Words>
  <Characters>54504</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Toms Francis</dc:creator>
  <cp:lastModifiedBy>Inese Albova</cp:lastModifiedBy>
  <cp:revision>2</cp:revision>
  <dcterms:created xsi:type="dcterms:W3CDTF">2022-12-19T07:18:00Z</dcterms:created>
  <dcterms:modified xsi:type="dcterms:W3CDTF">2022-12-19T07:18:00Z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0x010100328C1A1C0DE2DA44BDEE73C4E3D7B086</vt:lpwstr>
  </property>
  <property fmtid="{D5CDD505-2E9C-101B-9397-08002B2CF9AE}" pid="3" name="Dokumenta_x0020_veids">
    <vt:lpwstr/>
  </property>
  <property fmtid="{D5CDD505-2E9C-101B-9397-08002B2CF9AE}" pid="4" name="Dokumenta veids">
    <vt:lpwstr/>
  </property>
</Properties>
</file>