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FE5F4" w14:textId="77777777" w:rsidR="002A6209" w:rsidRDefault="002A6209"/>
    <w:tbl>
      <w:tblPr>
        <w:tblW w:w="5000" w:type="pct"/>
        <w:tblCellMar>
          <w:left w:w="0" w:type="dxa"/>
          <w:right w:w="0" w:type="dxa"/>
        </w:tblCellMar>
        <w:tblLook w:val="00A0" w:firstRow="1" w:lastRow="0" w:firstColumn="1" w:lastColumn="0" w:noHBand="0" w:noVBand="0"/>
      </w:tblPr>
      <w:tblGrid>
        <w:gridCol w:w="5669"/>
        <w:gridCol w:w="3402"/>
      </w:tblGrid>
      <w:tr w:rsidR="00776CCA" w14:paraId="0FBD2C03" w14:textId="77777777" w:rsidTr="00776CCA">
        <w:tc>
          <w:tcPr>
            <w:tcW w:w="3125" w:type="pct"/>
          </w:tcPr>
          <w:p w14:paraId="7BD36B54" w14:textId="77777777" w:rsidR="00776CCA" w:rsidRDefault="00776CCA" w:rsidP="00776CCA">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78C975B7" w14:textId="77777777" w:rsidR="00776CCA" w:rsidRDefault="00776CCA" w:rsidP="00776CCA">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63B5E597" w14:textId="77777777" w:rsidR="00776CCA" w:rsidRDefault="00776CCA" w:rsidP="00776CCA">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tc>
        <w:tc>
          <w:tcPr>
            <w:tcW w:w="1875" w:type="pct"/>
          </w:tcPr>
          <w:p w14:paraId="5435B24A" w14:textId="77777777" w:rsidR="00776CCA" w:rsidRDefault="00776CCA" w:rsidP="00776CCA">
            <w:pPr>
              <w:keepLines/>
              <w:autoSpaceDE w:val="0"/>
              <w:autoSpaceDN w:val="0"/>
              <w:adjustRightInd w:val="0"/>
              <w:spacing w:after="0" w:line="240" w:lineRule="auto"/>
              <w:jc w:val="right"/>
              <w:rPr>
                <w:rFonts w:ascii="Times New Roman" w:hAnsi="Times New Roman" w:cs="Times New Roman"/>
                <w:color w:val="000000"/>
                <w:sz w:val="24"/>
                <w:szCs w:val="24"/>
              </w:rPr>
            </w:pPr>
          </w:p>
          <w:p w14:paraId="2B0591F5" w14:textId="77777777" w:rsidR="00776CCA" w:rsidRDefault="00776CCA" w:rsidP="00776CCA">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r>
              <w:rPr>
                <w:rFonts w:ascii="Times New Roman" w:hAnsi="Times New Roman" w:cs="Times New Roman"/>
                <w:color w:val="000000"/>
                <w:sz w:val="24"/>
                <w:szCs w:val="24"/>
              </w:rPr>
              <w:br/>
              <w:t>Latvija</w:t>
            </w:r>
          </w:p>
        </w:tc>
      </w:tr>
    </w:tbl>
    <w:p w14:paraId="674E37EB" w14:textId="0BA37917" w:rsidR="00776CCA" w:rsidRDefault="00776CCA" w:rsidP="00776CCA">
      <w:pPr>
        <w:autoSpaceDE w:val="0"/>
        <w:autoSpaceDN w:val="0"/>
        <w:adjustRightInd w:val="0"/>
        <w:spacing w:after="0" w:line="240" w:lineRule="auto"/>
        <w:rPr>
          <w:rFonts w:ascii="Times New Roman" w:hAnsi="Times New Roman" w:cs="Times New Roman"/>
          <w:color w:val="000000"/>
          <w:sz w:val="24"/>
          <w:szCs w:val="24"/>
        </w:rPr>
      </w:pPr>
    </w:p>
    <w:p w14:paraId="19690E8C" w14:textId="6EDCC894" w:rsidR="002A6209" w:rsidRDefault="002A6209" w:rsidP="00776CCA">
      <w:pPr>
        <w:autoSpaceDE w:val="0"/>
        <w:autoSpaceDN w:val="0"/>
        <w:adjustRightInd w:val="0"/>
        <w:spacing w:after="0" w:line="240" w:lineRule="auto"/>
        <w:rPr>
          <w:rFonts w:ascii="Times New Roman" w:hAnsi="Times New Roman" w:cs="Times New Roman"/>
          <w:color w:val="000000"/>
          <w:sz w:val="24"/>
          <w:szCs w:val="24"/>
        </w:rPr>
      </w:pPr>
    </w:p>
    <w:p w14:paraId="2707D106" w14:textId="77777777" w:rsidR="002A6209" w:rsidRDefault="002A6209" w:rsidP="00776CCA">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776CCA" w14:paraId="0545A090" w14:textId="77777777" w:rsidTr="00776CCA">
        <w:tc>
          <w:tcPr>
            <w:tcW w:w="5000" w:type="pct"/>
          </w:tcPr>
          <w:p w14:paraId="3EC4217D" w14:textId="77777777" w:rsidR="00776CCA" w:rsidRDefault="00776CCA" w:rsidP="00776CCA">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likumprojektu "Grozījumi Enerģētikas likumā"</w:t>
            </w:r>
          </w:p>
        </w:tc>
      </w:tr>
    </w:tbl>
    <w:p w14:paraId="5B2D7A38" w14:textId="6E5FC442" w:rsidR="00776CCA" w:rsidRDefault="00776CCA" w:rsidP="00776CCA">
      <w:pPr>
        <w:autoSpaceDE w:val="0"/>
        <w:autoSpaceDN w:val="0"/>
        <w:adjustRightInd w:val="0"/>
        <w:spacing w:after="0" w:line="240" w:lineRule="auto"/>
        <w:jc w:val="both"/>
        <w:rPr>
          <w:rFonts w:ascii="Times New Roman" w:hAnsi="Times New Roman" w:cs="Times New Roman"/>
          <w:color w:val="000000"/>
          <w:sz w:val="24"/>
          <w:szCs w:val="24"/>
        </w:rPr>
      </w:pPr>
    </w:p>
    <w:p w14:paraId="6AF9090B" w14:textId="77777777" w:rsidR="002A6209" w:rsidRDefault="002A6209" w:rsidP="00776CCA">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776CCA" w14:paraId="27BE59E7" w14:textId="77777777" w:rsidTr="00776CCA">
        <w:tc>
          <w:tcPr>
            <w:tcW w:w="5000" w:type="pct"/>
          </w:tcPr>
          <w:p w14:paraId="7AB6A23D"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"Latvenergo" ir iepazinusies ar Valsts sekretāru sapulces 2021.gada 1.aprīlī izsludināto  likumprojektu "Grozījumi Enerģētikas likumā" (turpmāk – Likumprojekts) un sniedz šādus komentārus:</w:t>
            </w:r>
          </w:p>
          <w:p w14:paraId="4B7AED94" w14:textId="77777777" w:rsidR="00776CCA" w:rsidRDefault="00776CCA" w:rsidP="00776CCA">
            <w:pPr>
              <w:keepLines/>
              <w:autoSpaceDE w:val="0"/>
              <w:autoSpaceDN w:val="0"/>
              <w:adjustRightInd w:val="0"/>
              <w:spacing w:after="12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49.panta pirmā daļa</w:t>
            </w:r>
          </w:p>
          <w:p w14:paraId="45F92480"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Konkurences veicināšanai siltumenerģijas tirgū atkārtoti aicinām neizslēgt siltumenerģijas ražotājus ar būtisku ietekmi no siltumenerģijas brīvā tirgus, bet gan diferencēt siltumenerģijas tirgu, proti, turpināt tarifu regulāciju siltumenerģijas tirgus apjomam, kuru nav iespējams nodrošināt bez siltumenerģijas ražotāja ar būtisku ietekmi līdzdalības un par kuru nepastāv konkurence, bet konkurējošos tirgus apjomus neregulēt. Tieši saglabājot konkurences iespēju visiem tirgotājiem, izpildīsies Likumprojekta anotācijā noteiktais mērķis: </w:t>
            </w:r>
            <w:r>
              <w:rPr>
                <w:rFonts w:ascii="Times New Roman" w:hAnsi="Times New Roman" w:cs="Times New Roman"/>
                <w:i/>
                <w:iCs/>
                <w:color w:val="000000"/>
                <w:sz w:val="24"/>
                <w:szCs w:val="24"/>
              </w:rPr>
              <w:t>nepieļaut, ka siltumenerģijas galalietotājiem būtu liegta iespēja saņemt siltumenerģiju par tarifu, kas atbilst ekonomiski pamatotām izmaksām</w:t>
            </w:r>
            <w:r>
              <w:rPr>
                <w:rFonts w:ascii="Times New Roman" w:hAnsi="Times New Roman" w:cs="Times New Roman"/>
                <w:color w:val="000000"/>
                <w:sz w:val="24"/>
                <w:szCs w:val="24"/>
              </w:rPr>
              <w:t xml:space="preserve">. Ievērojot iepriekš minēto, aicinām izteikt 49.panta pirmo daļu šādā redakcijā: </w:t>
            </w:r>
          </w:p>
          <w:p w14:paraId="01FA2542" w14:textId="71EAA560"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Ja siltumapgādes sistēmas operatora tehniski nodalītā centralizētā siltumapgādes sistēmā darbojas vairāki siltumenerģijas ražotāji, siltumapgādes sistēmas operators </w:t>
            </w:r>
            <w:r>
              <w:rPr>
                <w:rFonts w:ascii="Times New Roman" w:hAnsi="Times New Roman" w:cs="Times New Roman"/>
                <w:i/>
                <w:iCs/>
                <w:color w:val="000000"/>
                <w:sz w:val="24"/>
                <w:szCs w:val="24"/>
                <w:u w:val="single"/>
              </w:rPr>
              <w:t>siltumenerģijas apjomu, par kuru pastāv konkurence,</w:t>
            </w:r>
            <w:r>
              <w:rPr>
                <w:rFonts w:ascii="Times New Roman" w:hAnsi="Times New Roman" w:cs="Times New Roman"/>
                <w:i/>
                <w:iCs/>
                <w:color w:val="000000"/>
                <w:sz w:val="24"/>
                <w:szCs w:val="24"/>
              </w:rPr>
              <w:t xml:space="preserve"> iepērk par vienošanās cenu saskaņā ar ekonomiskā pakāpeniskuma principa kritērijiem. Siltumenerģijas apjomu, par kuru konkurence nepastāv, sistēmas operators </w:t>
            </w:r>
            <w:r>
              <w:rPr>
                <w:rFonts w:ascii="Times New Roman" w:hAnsi="Times New Roman" w:cs="Times New Roman"/>
                <w:i/>
                <w:iCs/>
                <w:strike/>
                <w:color w:val="000000"/>
                <w:sz w:val="24"/>
                <w:szCs w:val="24"/>
              </w:rPr>
              <w:t xml:space="preserve">, izņemot no siltumenerģijas ražotāja ar būtisku ietekmi. Regulators nosaka kritērijus, pēc kuriem nosaka, kas ir siltumenerģijas ražotājs ar būtisku ietekmi, un kārtību, kādā siltumapgādes sistēmas operators iepērk siltumenerģiju no siltumenerģijas ražotāja ar būtisku ietekmi, un kritērijus, saskaņā ar kuriem siltumenerģiju </w:t>
            </w:r>
            <w:r>
              <w:rPr>
                <w:rFonts w:ascii="Times New Roman" w:hAnsi="Times New Roman" w:cs="Times New Roman"/>
                <w:i/>
                <w:iCs/>
                <w:color w:val="000000"/>
                <w:sz w:val="24"/>
                <w:szCs w:val="24"/>
              </w:rPr>
              <w:t xml:space="preserve">iepērk </w:t>
            </w:r>
            <w:r>
              <w:rPr>
                <w:rFonts w:ascii="Times New Roman" w:hAnsi="Times New Roman" w:cs="Times New Roman"/>
                <w:i/>
                <w:iCs/>
                <w:strike/>
                <w:color w:val="000000"/>
                <w:sz w:val="24"/>
                <w:szCs w:val="24"/>
              </w:rPr>
              <w:t xml:space="preserve">par vienošanās cenu vai </w:t>
            </w:r>
            <w:r>
              <w:rPr>
                <w:rFonts w:ascii="Times New Roman" w:hAnsi="Times New Roman" w:cs="Times New Roman"/>
                <w:i/>
                <w:iCs/>
                <w:color w:val="000000"/>
                <w:sz w:val="24"/>
                <w:szCs w:val="24"/>
              </w:rPr>
              <w:t>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w:t>
            </w:r>
          </w:p>
          <w:p w14:paraId="51D737AE" w14:textId="77777777" w:rsidR="002A6209" w:rsidRDefault="002A6209" w:rsidP="00776CCA">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p>
          <w:p w14:paraId="747417E2" w14:textId="77777777" w:rsidR="00776CCA" w:rsidRDefault="00776CCA" w:rsidP="00776CCA">
            <w:pPr>
              <w:keepLines/>
              <w:autoSpaceDE w:val="0"/>
              <w:autoSpaceDN w:val="0"/>
              <w:adjustRightInd w:val="0"/>
              <w:spacing w:after="12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47.panta otrā daļa</w:t>
            </w:r>
          </w:p>
          <w:p w14:paraId="24C5412D"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Ievērojot to, ka mājsaimniecības ir </w:t>
            </w:r>
            <w:proofErr w:type="spellStart"/>
            <w:r>
              <w:rPr>
                <w:rFonts w:ascii="Times New Roman" w:hAnsi="Times New Roman" w:cs="Times New Roman"/>
                <w:color w:val="000000"/>
                <w:sz w:val="24"/>
                <w:szCs w:val="24"/>
              </w:rPr>
              <w:t>mazaizsargātākā</w:t>
            </w:r>
            <w:proofErr w:type="spellEnd"/>
            <w:r>
              <w:rPr>
                <w:rFonts w:ascii="Times New Roman" w:hAnsi="Times New Roman" w:cs="Times New Roman"/>
                <w:color w:val="000000"/>
                <w:sz w:val="24"/>
                <w:szCs w:val="24"/>
              </w:rPr>
              <w:t xml:space="preserve"> sabiedrības daļa, tad attiecībā uz mājsaimniecību siltumenerģijas patēriņu ir saglabājami siltumapgādes tarifi, savukārt pārējiem patērētājiem ir jāļauj piedalīties brīvajā siltumenerģijas tirgū, saņemot siltumenerģiju par vienošanās cenu, tāpēc aicinām mājsaimniecībām noteikt siltumenerģijas piegādi par tarifiem, bet pārējiem siltumenerģijas galalietotājiem par vienošanās cenu, izsakot 47.panta otro daļu šādā redakcijā:</w:t>
            </w:r>
          </w:p>
          <w:p w14:paraId="3E622082"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iCs/>
                <w:color w:val="000000"/>
                <w:sz w:val="24"/>
                <w:szCs w:val="24"/>
              </w:rPr>
              <w:t>Mājsaimniecības lietotājiem siltumenerģijas piegādi, izmantojot centralizēto siltumapgādes sistēmu, energoapgādes komersants sniedz par regulatora noteiktajiem tarifiem vai par tarifiem, ko noteicis attiecīgais pakalpojumu sniedzējs saskaņā ar regulatora tarifu vai tarifu augšējās robežas aprēķināšanas un noteikšanas metodiku, kā arī tarifu vai tarifu augšējās robežas piemērošanas kārtību, ja ir saņemta regulatora atļauja, izņemot šā likuma 49.panta pirmajā daļā minēto gadījumu. Pārējiem lietotājiem, kas nav mājsaimniecības lietotāji, siltumenerģijas piegādi, izmantojot centralizēto siltumapgādes sistēmu, vai lietotājiem, kas nav pieslēgti centralizētajai siltumapgādes sistēmai energoapgādes komersants sniedz par vienošanās cenu.</w:t>
            </w:r>
            <w:r>
              <w:rPr>
                <w:rFonts w:ascii="Times New Roman" w:hAnsi="Times New Roman" w:cs="Times New Roman"/>
                <w:color w:val="000000"/>
                <w:sz w:val="24"/>
                <w:szCs w:val="24"/>
              </w:rPr>
              <w:t>"</w:t>
            </w:r>
          </w:p>
          <w:p w14:paraId="5585E7CD" w14:textId="77777777" w:rsidR="00776CCA" w:rsidRDefault="00776CCA" w:rsidP="00776CCA">
            <w:pPr>
              <w:keepLines/>
              <w:autoSpaceDE w:val="0"/>
              <w:autoSpaceDN w:val="0"/>
              <w:adjustRightInd w:val="0"/>
              <w:spacing w:after="12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48.panta otrā daļa</w:t>
            </w:r>
          </w:p>
          <w:p w14:paraId="0D1A95BE"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Aicinām papildināt Enerģētikas likumu, paredzot visiem siltumenerģijas ražotājiem iespēju pārdot siltumenerģijas pārpalikumu, izmantojot sistēmas operatora siltumenerģijas pārvades un sadales sistēmu, analoģiski, kā tas ir paredzēts autonomajiem ražotājiem 16.panta trešajā daļā, un izteikt 48.panta otro daļu šādā redakcijā:</w:t>
            </w:r>
          </w:p>
          <w:p w14:paraId="4FEF4D93"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iCs/>
                <w:color w:val="000000"/>
                <w:sz w:val="24"/>
                <w:szCs w:val="24"/>
              </w:rPr>
              <w:t>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w:t>
            </w:r>
            <w:r>
              <w:rPr>
                <w:rFonts w:ascii="Times New Roman" w:hAnsi="Times New Roman" w:cs="Times New Roman"/>
                <w:i/>
                <w:iCs/>
                <w:color w:val="000000"/>
                <w:sz w:val="24"/>
                <w:szCs w:val="24"/>
                <w:u w:val="single"/>
              </w:rPr>
              <w:t>, un nodrošina siltumenerģijas ražotājiem iespēju pārvadīt vai sadalīt to saražotās siltumenerģijas apjomu, lai to pārdotu citiem enerģijas lietotājiem vai sistēmas operatoram</w:t>
            </w:r>
            <w:r>
              <w:rPr>
                <w:rFonts w:ascii="Times New Roman" w:hAnsi="Times New Roman" w:cs="Times New Roman"/>
                <w:i/>
                <w:iCs/>
                <w:color w:val="000000"/>
                <w:sz w:val="24"/>
                <w:szCs w:val="24"/>
              </w:rPr>
              <w:t>.</w:t>
            </w:r>
            <w:r>
              <w:rPr>
                <w:rFonts w:ascii="Times New Roman" w:hAnsi="Times New Roman" w:cs="Times New Roman"/>
                <w:color w:val="000000"/>
                <w:sz w:val="24"/>
                <w:szCs w:val="24"/>
              </w:rPr>
              <w:t>"</w:t>
            </w:r>
          </w:p>
          <w:p w14:paraId="2A7FD90B" w14:textId="77777777" w:rsidR="00776CCA" w:rsidRDefault="00776CCA" w:rsidP="00776CCA">
            <w:pPr>
              <w:keepLines/>
              <w:autoSpaceDE w:val="0"/>
              <w:autoSpaceDN w:val="0"/>
              <w:adjustRightInd w:val="0"/>
              <w:spacing w:after="12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46.panta sestā daļa</w:t>
            </w:r>
          </w:p>
          <w:p w14:paraId="05B65045"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Ievērojot to, ka siltumenerģijas ražotājiem nav informācijas par atjaunojamās enerģijas īpatsvaru siltumapgādes sistēmā vai centralizētajā siltumapgādes sistēmā (Likumprojektā šim terminam nav sniegta definīcija), kā arī informēšana par energoefektivitātes uzlabošanas pasākumiem reizi pusgadā neatbilst energoefektivitātes monitoringa periodam, kas ir viens gads, aicinām aizstāt terminu "centrālās siltumapgādes uzņēmumi" ar "siltumapgādes sistēmas operatori", noteikt pienākumu informēt par energoefektivitātes uzlabošanas pasākumiem reizi gadā un izteikt 46.panta sesto daļu šādā redakcijā: </w:t>
            </w:r>
          </w:p>
          <w:p w14:paraId="3E320F4E"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iCs/>
                <w:strike/>
                <w:color w:val="000000"/>
                <w:sz w:val="24"/>
                <w:szCs w:val="24"/>
              </w:rPr>
              <w:t>Centrālās</w:t>
            </w:r>
            <w:r>
              <w:rPr>
                <w:rFonts w:ascii="Times New Roman" w:hAnsi="Times New Roman" w:cs="Times New Roman"/>
                <w:i/>
                <w:iCs/>
                <w:color w:val="000000"/>
                <w:sz w:val="24"/>
                <w:szCs w:val="24"/>
              </w:rPr>
              <w:t xml:space="preserve"> Siltumapgādes </w:t>
            </w:r>
            <w:r>
              <w:rPr>
                <w:rFonts w:ascii="Times New Roman" w:hAnsi="Times New Roman" w:cs="Times New Roman"/>
                <w:i/>
                <w:iCs/>
                <w:strike/>
                <w:color w:val="000000"/>
                <w:sz w:val="24"/>
                <w:szCs w:val="24"/>
              </w:rPr>
              <w:t>uzņēmumi</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u w:val="single"/>
              </w:rPr>
              <w:t>sistēmas operatori</w:t>
            </w:r>
            <w:r>
              <w:rPr>
                <w:rFonts w:ascii="Helv" w:hAnsi="Helv" w:cs="Helv"/>
                <w:i/>
                <w:iCs/>
                <w:color w:val="000000"/>
                <w:sz w:val="24"/>
                <w:szCs w:val="24"/>
              </w:rPr>
              <w:t xml:space="preserve"> </w:t>
            </w:r>
            <w:r>
              <w:rPr>
                <w:rFonts w:ascii="Times New Roman" w:hAnsi="Times New Roman" w:cs="Times New Roman"/>
                <w:i/>
                <w:iCs/>
                <w:color w:val="000000"/>
                <w:sz w:val="24"/>
                <w:szCs w:val="24"/>
              </w:rPr>
              <w:t xml:space="preserve">savā interneta vietnē publicē reizi mēnesī informāciju par iepriekšējā mēneša atjaunojamās enerģijas īpatsvaru centralizētajā siltumapgādes sistēmā un reizi </w:t>
            </w:r>
            <w:r>
              <w:rPr>
                <w:rFonts w:ascii="Times New Roman" w:hAnsi="Times New Roman" w:cs="Times New Roman"/>
                <w:i/>
                <w:iCs/>
                <w:strike/>
                <w:color w:val="000000"/>
                <w:sz w:val="24"/>
                <w:szCs w:val="24"/>
              </w:rPr>
              <w:t>pus</w:t>
            </w:r>
            <w:r>
              <w:rPr>
                <w:rFonts w:ascii="Times New Roman" w:hAnsi="Times New Roman" w:cs="Times New Roman"/>
                <w:i/>
                <w:iCs/>
                <w:color w:val="000000"/>
                <w:sz w:val="24"/>
                <w:szCs w:val="24"/>
              </w:rPr>
              <w:t>gadā par veiktajiem energoefektivitātes uzlabošanas pasākumiem un to rezultātā sasniegtajiem enerģijas ietaupījumiem</w:t>
            </w:r>
            <w:r>
              <w:rPr>
                <w:rFonts w:ascii="Times New Roman" w:hAnsi="Times New Roman" w:cs="Times New Roman"/>
                <w:color w:val="000000"/>
                <w:sz w:val="24"/>
                <w:szCs w:val="24"/>
              </w:rPr>
              <w:t>."</w:t>
            </w:r>
          </w:p>
          <w:p w14:paraId="2181EB92" w14:textId="77777777" w:rsidR="00776CCA" w:rsidRDefault="00776CCA" w:rsidP="00776CCA">
            <w:pPr>
              <w:keepLines/>
              <w:autoSpaceDE w:val="0"/>
              <w:autoSpaceDN w:val="0"/>
              <w:adjustRightInd w:val="0"/>
              <w:spacing w:after="12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58.</w:t>
            </w:r>
            <w:r>
              <w:rPr>
                <w:rFonts w:ascii="Times New Roman" w:hAnsi="Times New Roman" w:cs="Times New Roman"/>
                <w:b/>
                <w:bCs/>
                <w:color w:val="000000"/>
                <w:sz w:val="24"/>
                <w:szCs w:val="24"/>
                <w:vertAlign w:val="superscript"/>
              </w:rPr>
              <w:t xml:space="preserve">8 </w:t>
            </w:r>
            <w:r>
              <w:rPr>
                <w:rFonts w:ascii="Times New Roman" w:hAnsi="Times New Roman" w:cs="Times New Roman"/>
                <w:b/>
                <w:bCs/>
                <w:color w:val="000000"/>
                <w:sz w:val="24"/>
                <w:szCs w:val="24"/>
              </w:rPr>
              <w:t>panta astotā daļa</w:t>
            </w:r>
          </w:p>
          <w:p w14:paraId="1036F76A" w14:textId="77777777" w:rsidR="00776CCA" w:rsidRDefault="00776CCA" w:rsidP="00776CCA">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Ievērojot to, ka kurināmajam, kas iegūts no atjaunojamiem energoresursiem (turpmāk – AER), ir paredzēts ieviest izcelsmes apliecinājumu sistēmu, kam būtu jāapliecina ne tikai šāda kurināmā saražošana, bet arī patēriņš, tad, lai motivētu arī industriālos patērētājus izvēlēties patērēt no AER iegūtu kurināmo un veicinātu no AER iegūtās enerģijas pieaugumu Latvijas </w:t>
            </w:r>
            <w:proofErr w:type="spellStart"/>
            <w:r>
              <w:rPr>
                <w:rFonts w:ascii="Times New Roman" w:hAnsi="Times New Roman" w:cs="Times New Roman"/>
                <w:color w:val="000000"/>
                <w:sz w:val="24"/>
                <w:szCs w:val="24"/>
              </w:rPr>
              <w:t>energobilancē</w:t>
            </w:r>
            <w:proofErr w:type="spellEnd"/>
            <w:r>
              <w:rPr>
                <w:rFonts w:ascii="Times New Roman" w:hAnsi="Times New Roman" w:cs="Times New Roman"/>
                <w:color w:val="000000"/>
                <w:sz w:val="24"/>
                <w:szCs w:val="24"/>
              </w:rPr>
              <w:t>, aicinām Ekonomikas ministriju uzsākt darbu pie šādu izcelsmes apliecinājumu atzīšanas arī nacionālajā nodokļu politikā, piemēram, atzīstot šādus izcelsmes apliecinājumus kā kurināmā izcelsmes pierādījumu.</w:t>
            </w:r>
          </w:p>
        </w:tc>
      </w:tr>
    </w:tbl>
    <w:p w14:paraId="4C8BB5D4" w14:textId="77777777" w:rsidR="00776CCA" w:rsidRDefault="00776CCA" w:rsidP="00776CCA">
      <w:pPr>
        <w:autoSpaceDE w:val="0"/>
        <w:autoSpaceDN w:val="0"/>
        <w:adjustRightInd w:val="0"/>
        <w:spacing w:after="0" w:line="240" w:lineRule="auto"/>
        <w:rPr>
          <w:rFonts w:ascii="Times New Roman" w:hAnsi="Times New Roman" w:cs="Times New Roman"/>
          <w:color w:val="000000"/>
          <w:sz w:val="24"/>
          <w:szCs w:val="24"/>
        </w:rPr>
      </w:pPr>
    </w:p>
    <w:p w14:paraId="26CB67B9" w14:textId="77777777" w:rsidR="00776CCA" w:rsidRDefault="00776CCA" w:rsidP="00776CCA">
      <w:pPr>
        <w:autoSpaceDE w:val="0"/>
        <w:autoSpaceDN w:val="0"/>
        <w:adjustRightInd w:val="0"/>
        <w:spacing w:after="0" w:line="240" w:lineRule="auto"/>
        <w:rPr>
          <w:rFonts w:ascii="Times New Roman" w:hAnsi="Times New Roman" w:cs="Times New Roman"/>
          <w:color w:val="000000"/>
          <w:sz w:val="24"/>
          <w:szCs w:val="24"/>
        </w:rPr>
      </w:pPr>
    </w:p>
    <w:p w14:paraId="6456F8A6" w14:textId="77777777" w:rsidR="00776CCA" w:rsidRDefault="00776CCA" w:rsidP="00776CCA">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778DED57" w14:textId="77777777" w:rsidR="00776CCA" w:rsidRDefault="00776CCA" w:rsidP="00776CCA">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776CCA" w14:paraId="6E218EBD" w14:textId="77777777" w:rsidTr="00776CCA">
        <w:tc>
          <w:tcPr>
            <w:tcW w:w="2418" w:type="pct"/>
          </w:tcPr>
          <w:p w14:paraId="1AD7182C" w14:textId="77777777" w:rsidR="00776CCA" w:rsidRDefault="00776CCA" w:rsidP="00776CCA">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Komercdirektors</w:t>
            </w:r>
          </w:p>
        </w:tc>
        <w:tc>
          <w:tcPr>
            <w:tcW w:w="152" w:type="pct"/>
          </w:tcPr>
          <w:p w14:paraId="48C7034F" w14:textId="77777777" w:rsidR="00776CCA" w:rsidRDefault="00776CCA" w:rsidP="00776CCA">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15D6D7CD" w14:textId="77777777" w:rsidR="00776CCA" w:rsidRDefault="00776CCA" w:rsidP="00776CCA">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Uldis Mucinieks</w:t>
            </w:r>
          </w:p>
        </w:tc>
      </w:tr>
    </w:tbl>
    <w:p w14:paraId="186DDC81" w14:textId="77777777" w:rsidR="00776CCA" w:rsidRDefault="00776CCA" w:rsidP="00776CCA">
      <w:pPr>
        <w:autoSpaceDE w:val="0"/>
        <w:autoSpaceDN w:val="0"/>
        <w:adjustRightInd w:val="0"/>
        <w:spacing w:after="0" w:line="240" w:lineRule="auto"/>
        <w:rPr>
          <w:rFonts w:ascii="Times New Roman" w:hAnsi="Times New Roman" w:cs="Times New Roman"/>
          <w:color w:val="000000"/>
          <w:sz w:val="24"/>
          <w:szCs w:val="24"/>
        </w:rPr>
      </w:pPr>
    </w:p>
    <w:p w14:paraId="49B0ED72" w14:textId="77777777" w:rsidR="00776CCA" w:rsidRDefault="00776CCA" w:rsidP="00776CCA">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776CCA" w14:paraId="34C3923E" w14:textId="77777777" w:rsidTr="00776CCA">
        <w:tc>
          <w:tcPr>
            <w:tcW w:w="5000" w:type="pct"/>
          </w:tcPr>
          <w:p w14:paraId="23920B2D" w14:textId="77777777" w:rsidR="00776CCA" w:rsidRDefault="00776CCA" w:rsidP="00776CCA">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Elena Vilsone-Bērziņa 67728370</w:t>
            </w:r>
          </w:p>
        </w:tc>
      </w:tr>
    </w:tbl>
    <w:p w14:paraId="4DCE26A5" w14:textId="77777777" w:rsidR="005766AC" w:rsidRPr="00424932" w:rsidRDefault="005766AC" w:rsidP="00776CCA"/>
    <w:sectPr w:rsidR="005766AC" w:rsidRPr="00424932"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AFBD5" w14:textId="77777777" w:rsidR="00DD69F6" w:rsidRDefault="00DD69F6" w:rsidP="00117405">
      <w:pPr>
        <w:spacing w:after="0" w:line="240" w:lineRule="auto"/>
      </w:pPr>
      <w:r>
        <w:separator/>
      </w:r>
    </w:p>
  </w:endnote>
  <w:endnote w:type="continuationSeparator" w:id="0">
    <w:p w14:paraId="13746E32" w14:textId="77777777" w:rsidR="00DD69F6" w:rsidRDefault="00DD69F6"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CD367" w14:textId="77777777" w:rsidR="00776CCA" w:rsidRDefault="00776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07CDF" w14:textId="77777777" w:rsidR="00776CCA" w:rsidRDefault="00776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FB64F" w14:textId="77777777" w:rsidR="00776CCA" w:rsidRDefault="00776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3959B" w14:textId="77777777" w:rsidR="00DD69F6" w:rsidRDefault="00DD69F6" w:rsidP="00117405">
      <w:pPr>
        <w:spacing w:after="0" w:line="240" w:lineRule="auto"/>
      </w:pPr>
      <w:r>
        <w:separator/>
      </w:r>
    </w:p>
  </w:footnote>
  <w:footnote w:type="continuationSeparator" w:id="0">
    <w:p w14:paraId="5F32C056" w14:textId="77777777" w:rsidR="00DD69F6" w:rsidRDefault="00DD69F6"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5D824" w14:textId="77777777" w:rsidR="00776CCA" w:rsidRDefault="00776C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D7C2E" w14:textId="77777777" w:rsidR="00776CCA" w:rsidRDefault="00776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14FB782A" w14:textId="77777777" w:rsidTr="007F566F">
      <w:trPr>
        <w:cantSplit/>
        <w:trHeight w:val="3515"/>
        <w:jc w:val="center"/>
      </w:trPr>
      <w:tc>
        <w:tcPr>
          <w:tcW w:w="9061" w:type="dxa"/>
        </w:tcPr>
        <w:p w14:paraId="2188B7AF"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0" locked="0" layoutInCell="1" allowOverlap="1" wp14:anchorId="39A65CB9" wp14:editId="3E3FE5CC">
                <wp:simplePos x="0" y="0"/>
                <wp:positionH relativeFrom="column">
                  <wp:posOffset>-1070610</wp:posOffset>
                </wp:positionH>
                <wp:positionV relativeFrom="paragraph">
                  <wp:posOffset>114300</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0E3D9098" w14:textId="4D21C805" w:rsidR="00526744" w:rsidRDefault="00526744">
    <w:pPr>
      <w:pStyle w:val="Header"/>
    </w:pPr>
  </w:p>
  <w:p w14:paraId="2403410F" w14:textId="77777777" w:rsidR="00776CCA" w:rsidRPr="00776CCA" w:rsidRDefault="00776CCA">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CA"/>
    <w:rsid w:val="00046C5E"/>
    <w:rsid w:val="00117405"/>
    <w:rsid w:val="001B24A3"/>
    <w:rsid w:val="001D1AD2"/>
    <w:rsid w:val="002302EC"/>
    <w:rsid w:val="002A6209"/>
    <w:rsid w:val="003E571F"/>
    <w:rsid w:val="003F7941"/>
    <w:rsid w:val="00424932"/>
    <w:rsid w:val="00454313"/>
    <w:rsid w:val="00476996"/>
    <w:rsid w:val="00526744"/>
    <w:rsid w:val="00561709"/>
    <w:rsid w:val="005766AC"/>
    <w:rsid w:val="006232BF"/>
    <w:rsid w:val="00627FAE"/>
    <w:rsid w:val="006512F4"/>
    <w:rsid w:val="006D2C65"/>
    <w:rsid w:val="00707C55"/>
    <w:rsid w:val="00717B9A"/>
    <w:rsid w:val="00776CCA"/>
    <w:rsid w:val="007F566F"/>
    <w:rsid w:val="0083724C"/>
    <w:rsid w:val="008B458C"/>
    <w:rsid w:val="00974D29"/>
    <w:rsid w:val="009B414B"/>
    <w:rsid w:val="009C5EBC"/>
    <w:rsid w:val="00A32671"/>
    <w:rsid w:val="00B17A55"/>
    <w:rsid w:val="00B25907"/>
    <w:rsid w:val="00B90832"/>
    <w:rsid w:val="00B95B3B"/>
    <w:rsid w:val="00BF2CBA"/>
    <w:rsid w:val="00CF07FA"/>
    <w:rsid w:val="00D12EA2"/>
    <w:rsid w:val="00D9691A"/>
    <w:rsid w:val="00DA5174"/>
    <w:rsid w:val="00DD69F6"/>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24424"/>
  <w15:docId w15:val="{17FB8BF6-524D-48FA-BF60-A031AF26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edveds\AppData\Local\Temp\LE_veidlapa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LE_veidlapa_2021.dotx</Template>
  <TotalTime>0</TotalTime>
  <Pages>3</Pages>
  <Words>3843</Words>
  <Characters>2191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Inese Karpoviča</cp:lastModifiedBy>
  <cp:revision>2</cp:revision>
  <dcterms:created xsi:type="dcterms:W3CDTF">2021-12-03T11:19:00Z</dcterms:created>
  <dcterms:modified xsi:type="dcterms:W3CDTF">2021-12-03T11:19:00Z</dcterms:modified>
</cp:coreProperties>
</file>