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25-TA-930: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Transportlīdzekļa ekspluatācijas nodokļa un uzņēmumu vieglo transportlīdzekļu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Transportlīdzekļa ekspluatācijas nodokļa un uzņēmumu vieglo transportlīdzekļu nodokļa likumā (Latvijas Vēstnesis, 2010, 206. nr.; 2012, 59., 190. nr.; 2013, 188. nr.; 2015, 107., 248. nr.; 2016, 241. nr.; 2017, 132., 156. nr.; 2020, 240.A nr.; 2023, 87. nr.; 2024, 248.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elektroskrejriteņiem, kuru termins ietverts Ceļu satiksmes likuma 1. panta 9.</w:t>
            </w:r>
            <w:r w:rsidR="00000000" w:rsidRPr="00000000" w:rsidDel="00000000">
              <w:rPr>
                <w:vertAlign w:val="superscript"/>
                <w:rtl w:val="0"/>
              </w:rPr>
              <w:t xml:space="preserve">1</w:t>
            </w:r>
            <w:r w:rsidR="00000000" w:rsidRPr="00000000" w:rsidDel="00000000">
              <w:rPr>
                <w:rtl w:val="0"/>
              </w:rPr>
              <w:t xml:space="preserve"> punktā, netiek piemērots transportlīdzekļa ekspluatācijas nodoklis, lūdzam papildināt Transportlīdzekļa ekspluatācijas nodokļa un uzņēmumu vieglo transportlīdzekļu nodokļa likuma 2. pantu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2.pants. Transportlīdzekļa ekspluatācijas nodokļa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transportlīdzekļa ekspluatācijas nodokli apliekamais objekts ir visi transportlīdzekļi, izņemot traktortehniku, tādas automobiļu piekabes un puspiekabes, kuru pilna masa nepārsniedz 3500 kilogramus, tramvajus, trolejbusus, bezceļu transportlīdzekļus, sniega motociklus, mopēdus, </w:t>
            </w:r>
            <w:r w:rsidR="00000000" w:rsidRPr="00000000" w:rsidDel="00000000">
              <w:rPr>
                <w:b w:val="1"/>
                <w:rtl w:val="0"/>
              </w:rPr>
              <w:t xml:space="preserve">elektroskreriteņus </w:t>
            </w:r>
            <w:r w:rsidR="00000000" w:rsidRPr="00000000" w:rsidDel="00000000">
              <w:rPr>
                <w:rtl w:val="0"/>
              </w:rPr>
              <w:t xml:space="preserve">un velosipēdus.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2.pants 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Transportlīdzekļa ekspluatācijas nodokļa un uzņēmumu vieglo transportlīdzekļu nodokļa likumā (Latvijas Vēstnesis, 2010, 206. nr.; 2012, 59., 190. nr.; 2013, 188. nr.; 2015, 107., 248. nr.; 2016, 241. nr.; 2017, 132., 156. nr.; 2020, 240.A nr.; 2023, 87. nr.; 2024, 248.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vārdus “nododot numura zīmes”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2025. gada 8. jūlija noteikumos Nr. 418 "Grozījumi Ministru kabineta 2010. gada 30. novembra noteikumos Nr. 1080 "Transportlīdzekļu reģistrācijas noteikumi"" ietvertais regulējums, kas vairs neparedz prasību par numura zīmju nodošanu glabāšanā CSDD, ja tiek pārtraukta transportlīdzekļa reģistrācija uz laiku, stāsies spēkā 2025. gada 1. novembrī, aicinām izvērtēt un nepieciešamības gadījumā salāgot, papildinot likumprojektu ar spēkā stāšanās termiņu attiecībā uz likumprojekta 1. un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spēkā stāšanās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prasība nodot transportlīdzekļa numura zīmes CSDD gadījumos, ja tiek pārtraukta transportlīdzekļa reģistrācija uz laiku, netiek svītrota jau ar Ministru kabineta 2025. gada 8. jūlija noteikumiem Nr. 418 "Grozījumi Ministru kabineta 2010. gada 30. novembra noteikumos Nr. 1080 "Transportlīdzekļu reģistrācijas noteikumi"". Nepieciešamības gadījumā aicinām aktualizēt likumprojekta anotācijas 4. 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11. decembra noteikumi Nr. 858 "Transportlīdzekļa ekspluatācijas nodokļa un uzņēmumu vieglo transportlīdzekļu nodokļa maksāšanas kārtība" (turpmāk - MK noteikumi Nr.858) ir nesaistīti noteikumi ar Ministru kabineta 2025. gada 8. jūlija noteikumiem Nr. 418 "Grozījumi Ministru kabineta 2010. gada 30. novembra noteikumos Nr. 1080 "Transportlīdzekļu reģistrācijas noteikumi"" un, ņemot vērtā to, ka MK noteikumos Nr.858 ir vairākas normas, kuras nosaka, ka gadījumos, kad tiek pārtraukta transportlīdzekļa reģistrācija uz laiku, ir nepieciešams nodot transportlīdzekļa numura zīmes, tajos ir nepieciešams veikt attiecīgus grozījumus, lai tie būtu salāgoti ar likumprojektā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25-TA-930</w:t>
    </w:r>
    <w:r>
      <w:br/>
    </w:r>
    <w:r w:rsidR="00000000" w:rsidRPr="00000000" w:rsidDel="00000000">
      <w:rPr>
        <w:rtl w:val="0"/>
      </w:rPr>
      <w:t xml:space="preserve">09.09.2025. 10.18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25-TA-930</w:t>
    </w:r>
    <w:r>
      <w:br/>
    </w:r>
    <w:r w:rsidR="00000000" w:rsidRPr="00000000" w:rsidDel="00000000">
      <w:rPr>
        <w:rtl w:val="0"/>
      </w:rPr>
      <w:t xml:space="preserve">09.09.2025. 10.18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Izziņa_25-TA-930.docx</dc:title>
</cp:coreProperties>
</file>

<file path=docProps/custom.xml><?xml version="1.0" encoding="utf-8"?>
<Properties xmlns="http://schemas.openxmlformats.org/officeDocument/2006/custom-properties" xmlns:vt="http://schemas.openxmlformats.org/officeDocument/2006/docPropsVTypes"/>
</file>