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26-TA-1859: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2026. gada 26. maija noteikumos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(30.05.2026.)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14.08.2026. 18:55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2.1.1.6.pasākuma 1. un 2.kārtas finansējumā, precīzas informācijas norādīšanai KPVIS, lūdzam anotācijas sadaļā "Risinājuma apraksts" iekļaut precīzu finansējuma sadalījumu pa intervences laukiem kārtu līmenī (t.sk. iekļaujot intervences laukumu ar kodu Nr. 044 - Publiskās infrastruktūras atjaunošana energoefektivitātes uzlabošanai vai energoefektivitātes pasākumi, demonstrējuma projekti un atbalsta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 sadaļu “Pašreizējā situācija, problēmas un risinājumi” (turpmāk – 1.3. sadaļa) ar skaidrojumu par to, kā trešās projektu iesniegumu atlases kārtas projekta iesniedzēji tiks informēti par noteikumu grozījumiem, kā arī par grozījumu ietekmi uz projekta iesniedzējiem, tai skaitā uz tiem projekta iesniedzējiem, kuri projekta iesniegumus jau ir iesnieguši.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1.3.sadaļu ar informāciju par to, vai ņemot vēra veiktos precizējumus/atvieglojumus šos projektus joprojām varēs ieskaitīt kā atbilstošus 2023. gada 13. septembra Eiropas Parlamenta un Padomes Direktīvas (ES) 2023/1791 par energoefektivitāti un ar ko groza Regulu (ES) 2023/955 6.pantā noteikto prasību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grozījumi veikti tehniski atbilstoši aktualizētajiem nacionālajiem normatīviem un  noteikumu projektā Nr.25-TA-908, jau ir skaidrots, ka 2.1.1.6. pasākuma 3. kārtas investīciju rezultāti var sniegt ieguldījumu Direktīvas (ES) 2023/1791 mērķu praktiskā sasniegšanā un investīcijas rezultāti var tikt ņemti vērā kā daļa no EK paziņotajiem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projektā Nr.25-TA-908 ir skaidrots, ka investīcijas veicina Direktīvas (ES) 2023/1791 6. panta prasību izpildi, kā arī 5. un 8. panta mērķu sasniegšanu. Tāpat anotācijā ir iekļauts nacionālais rādītājs Direktīvas (ES) 2023/1791 8. panta mērķu uzraudzībai, atsevišķi norādīts, ka 6. panta 1. punkta pārņemšana tiek nodrošināta ar Ekonomikas ministrijas virzīto likumprojektu Nr. 25-TA-2969, kā arī skaidrota saikne starp Direktīvas (ES) 2023/1791 6. panta prasībām un investīciju izmaksu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"Tiesību akta projekta ietekmējamās sabiedrības grupas, ietekme uz tautsaimniecības attīstību un administratīvo slogu" ar noteikumu projekta ietekmi uz tautsaimniecību. Aicinām norādīt pēc iespējas izmērāmus rādītājus, kā arī novērtējot konkrētus aspektus par plānoto ieguldījumu sagaidāmo ietekmi un efektivitāti, t.sk. faktiski sagaidāmos rezultātus/uzlabojumus.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plānā noteiktajiem mērķiem,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izvērtējot.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skar nelielu papildu finansējumu pieejamību esošajai atlasei, līdz ar to nav korekti izmērāma ietekme pret izmaiņām spēkā esošajos MK noteikumos Nr. 305  uz makroekonomisko vidi, pienesums ekonomikas transformācijai, nozaru konkurētspējai, uzņēmējdarbības videi, nodarbinātībai, kā arī ietekme uz nozaru politikas mērķiem, Latvijas Nacionālajā attīstības plāna noteiktajiem mērķiem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“Tiesību akta projekta ietekme uz valsts budžetu un pašvaldību budžetiem” 2029.gadam ailē "izmaiņas, salīdzinot ar vidēja termiņa budžeta ietvaru" aizpildīt 5.3.apakšpunktu.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Atlases kārtas ietvaros plānotais un pieejamais kopējais finansējums ir ne mazāks kā 19 442 048 </w:t>
            </w:r>
            <w:r w:rsidR="00000000" w:rsidRPr="00000000" w:rsidDel="00000000">
              <w:rPr>
                <w:i w:val="1"/>
                <w:rtl w:val="0"/>
              </w:rPr>
              <w:t xml:space="preserve">euro</w:t>
            </w:r>
            <w:r w:rsidR="00000000" w:rsidRPr="00000000" w:rsidDel="00000000">
              <w:rPr>
                <w:rtl w:val="0"/>
              </w:rPr>
              <w:t xml:space="preserve">, tai skaitā Eiropas Reģionālās attīstības fonda finansējums – 16 525 740 </w:t>
            </w:r>
            <w:r w:rsidR="00000000" w:rsidRPr="00000000" w:rsidDel="00000000">
              <w:rPr>
                <w:i w:val="1"/>
                <w:rtl w:val="0"/>
              </w:rPr>
              <w:t xml:space="preserve">euro</w:t>
            </w:r>
            <w:r w:rsidR="00000000" w:rsidRPr="00000000" w:rsidDel="00000000">
              <w:rPr>
                <w:rtl w:val="0"/>
              </w:rPr>
              <w:t xml:space="preserve"> un nacionālais līdzfinansējums, ko veido pašvaldību un privātais finansējums, – ne mazāks kā 2 916 308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3.kārtai pieejamo finansējumu, ņemot vērā, ka 2.1.1.6.pasākuma 2.kārtā 20.08.2026. pārtraukta projekta 2.1.1.6/2/25/A/002 īstenošana, kuram bija paredzēts ERAF līdzfinansējums 276 782,48 euro apmērā. Šobrīd 3. kārtas atlase ir atvērta līdz 15.10.2026.un ir vērojama liela interese no finansējuma saņēmējiem.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komentāru lūdzam pārskatīt un aktualizēt arī protokollēmuma 4.punktā norādīto 2.1.1.6.pasākuma 2.kārtai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Atlases kārtas ietvaros plānotais un pieejamais kopējais finansējums ir ne mazāks kā 19 767 673 </w:t>
            </w:r>
            <w:r w:rsidR="00000000" w:rsidRPr="00000000" w:rsidDel="00000000">
              <w:rPr>
                <w:i w:val="1"/>
                <w:rtl w:val="0"/>
              </w:rPr>
              <w:t xml:space="preserve">euro</w:t>
            </w:r>
            <w:r w:rsidR="00000000" w:rsidRPr="00000000" w:rsidDel="00000000">
              <w:rPr>
                <w:rtl w:val="0"/>
              </w:rPr>
              <w:t xml:space="preserve">, tai skaitā Eiropas Reģionālās attīstības fonda finansējums – 16 802 522 </w:t>
            </w:r>
            <w:r w:rsidR="00000000" w:rsidRPr="00000000" w:rsidDel="00000000">
              <w:rPr>
                <w:i w:val="1"/>
                <w:rtl w:val="0"/>
              </w:rPr>
              <w:t xml:space="preserve">euro</w:t>
            </w:r>
            <w:r w:rsidR="00000000" w:rsidRPr="00000000" w:rsidDel="00000000">
              <w:rPr>
                <w:rtl w:val="0"/>
              </w:rPr>
              <w:t xml:space="preserve"> un nacionālais līdzfinansējums, ko veido pašvaldību un privātais finansējums, – ne mazāks kā 2 965 151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Atlases kārtas ietvaros projekta iesniedzējs, kas pēc projekta iesnieguma apstiprināšanas kļūst par finansējuma saņēmēju, ir pašvaldība vai tās izveidota iestāde, pašvaldības kapitālsabiedrība, kas pilda pašvaldības deleģētos pārvaldes uzdevumus vai ir noslēgusi pakalpojumu līgumu par ūdenssaimniecības, siltumapgādes vai valsts vai pašvaldības apmaksātu veselības aprūpes sabiedrisko pakalpojumu (turpmāk – sabiedriskie pakalpojumi) sniegšanu, kā arī publiski privātā kapitālsabiedrība, kurā visas kapitāla daļas vai balsstiesīgās akcijas pieder vairākām publiskām personām, tai skaitā vismaz vienai pašvaldībai, un kura pilda pašvaldības deleģētos pārvaldes uzdevumus vai ir noslēgusi pakalpojumu līgumu par sabiedrisko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Izskatīt iespējas papildināt noteikumu 12. punktu, paplašinot projekta iesniedzēju loku, paredzot, ka projekta iesniedzējs var būt ne tikai pašvaldības kapitālsabiedrība, kas pilda pašvaldības deleģētos pārvaldes uzdevumus vai ir noslēgusi pakalpojumu līgumu par </w:t>
            </w:r>
            <w:r w:rsidR="00000000" w:rsidRPr="00000000" w:rsidDel="00000000">
              <w:rPr>
                <w:b w:val="1"/>
                <w:rtl w:val="0"/>
              </w:rPr>
              <w:t xml:space="preserve">ūdenssaimniecības, siltumapgādes vai valsts vai pašvaldības apmaksātu veselības aprūpes sabiedrisko pakalpojumu, </w:t>
            </w:r>
            <w:r w:rsidR="00000000" w:rsidRPr="00000000" w:rsidDel="00000000">
              <w:rPr>
                <w:rtl w:val="0"/>
              </w:rPr>
              <w:t xml:space="preserve">bet arī </w:t>
            </w:r>
            <w:r w:rsidR="00000000" w:rsidRPr="00000000" w:rsidDel="00000000">
              <w:rPr>
                <w:b w:val="1"/>
                <w:rtl w:val="0"/>
              </w:rPr>
              <w:t xml:space="preserve">citus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SIA “Rīgas Nacionālais zooloģiskais dārzs” (uz šo brīdi SIA “Rīgas meži” daļa “Rīgas Nacionālais  zooloģiskais dārzs) </w:t>
            </w:r>
            <w:r w:rsidR="00000000" w:rsidRPr="00000000" w:rsidDel="00000000">
              <w:rPr>
                <w:b w:val="1"/>
                <w:rtl w:val="0"/>
              </w:rPr>
              <w:t xml:space="preserve">sniedz vispārējas tautsaimnieciskas nozīmes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Rīgas pašvaldību un SIA “Rīgas Nacionālais zooloģiskais dārzs” ir noslēgts pilnvarojuma līgums vispārējas tautsaimnieciskas nozīmes pakalpojumu sniegšanai, kuras ietvaros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Latvijas un pasaules faunas dzīvnieku demonstrēšana;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pasākumi dabas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reto un izzūdošo sugu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vides izglītības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apmeklētāju atpūtas un brīvā laika pavadīšanas iespēju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tūrisma sekmēšana;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kultūras mantojuma un stratēģiski svarīgas infrastruktūras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pētniecība;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palīdzība aizsargājamiem savvaļas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zooloģiskais dārzs kā vēsturiska vērtība ir dibināts 1912. gadā un ir ne vien vietējās, bet arī nacionālas nozīmes publiski pieejams apskates objekts, kam energoefektivitātes, tai skaitā siltumnoturības uzlabošana būtu būtiska.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priekšlikumu, vēršam uzmanību, ka atlases kārtā atbalstāmo sabiedrisko pakalpojumu loks ir noteikts, ņemot vērā pasākuma mērķi un attiecīgajām pakalpojumu jomām piemērojamos komercdarbības atbalsta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Finanšu ministrija kā Latvijā sastopamu vispārējas tautsaimnieciskas nozīmes pakalpojumu (turpmāk – VTNP) piemērus min obligātās veselības aprūpes pakalpojumu nodrošināšanu, mazo reģionālo lidostu darbības nodrošināšanu, komunālos pakalpojumus, kā arī atsevišķus sociālos pakalpojumus. Ja konkrētais atbalsta pasākums neatbilst visām četrām Komercdarbības atbalsta kontroles likuma 5. pantā noteiktajām komercdarbības atbalstu raksturojošajām pazīmēm, tas nav uzskatāms par komercdarbības atbalstu un VTNP lēmuma nosacījumi nav jāpiemēro. Vienlaikus atsevišķām VTNP jomām ir piemērojams īpašs nozaru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minētais atsevišķais gadījums nav pietiekams pamats atlases kārtu vispārīgi attiecināt uz nenoteiktu citu VTNP loku, t.sk., jo ņemot vērā Rīgas Nacionālā zooloģiskā dārza darbības raksturu un mērogu, pirmšķietami tiek sniegti vietējas nozīmes pakalpojumi, uz kuriem nav attiecināmi valsts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Atlases kārtas ietvaros projekta iesniedzējs, kas pēc projekta iesnieguma apstiprināšanas kļūst par finansējuma saņēmēju, ir pašvaldība vai tās izveidota iestāde, pašvaldības kapitālsabiedrība, kas pilda pašvaldības deleģētos pārvaldes uzdevumus vai ir noslēgusi pakalpojumu līgumu par ūdenssaimniecības, siltumapgādes vai valsts vai pašvaldības apmaksātu veselības aprūpes sabiedrisko pakalpojumu (turpmāk – sabiedriskie pakalpojumi) sniegšanu, kā arī publiski privātā kapitālsabiedrība, kurā visas kapitāla daļas vai balsstiesīgās akcijas pieder vairākām publiskām personām, tai skaitā vismaz vienai pašvaldībai, un kura pilda pašvaldības deleģētos pārvaldes uzdevumus vai ir noslēgusi pakalpojumu līgumu par sabiedrisko pakalpojumu 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39.14. projekta īstenošanai nepieciešamo preču, pakalpojumu un būvdarbu iegādi veic saskaņā ar publisko iepirkumu reglamentējošiem normatīvajiem aktiem, īstenojot atklātu, pārredzamu, nediskriminējošu un konkurenci nodrošinošu konkursa procedūru, un nodrošina vides prasību integrāciju preču, pakalpojumu un būvdarbu iepirkumos ("zaļais" publiskais iepirkums), ja attiecināms, kā arī izvērtē sociāli atbildīga un inovatīva publiskā iepirkuma nosacījumu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Publisko iepirkumu likumā tika izslēgts 19. pants “Zaļais publiskais iepirkums” un 09.06.2026. zaudēja spēku Ministru kabineta 20.06.2017. noteikumi Nr. 353 “Prasības zaļajam publiskajam iepirkumam un to piemērošanas kārtība” un vides prasību integrācija iepirkumos turpmāk tiek īstenota ar stratēģisko iepirkumu "Ietekmes uz vidi mazināšana" (atbilstoši IUB publicētajam skaidrojumam), vienlaikus, saskaņā ar Publisko iepirkumu likuma pārejas noteikumu 27. punktu līdz 08.06.2026. (ieskaitot) uzsāktie vai izsludinātie iepirkumi pabeidzami atbilstoši to uzsākšanas vai izsludināšanas laikā spēkā esošajam regulējumam, rosinām izvērtēt vai nepieciešami precizējumi MK noteikumu projekta 39.14.apakšpunktā.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39.14. projekta īstenošanai nepieciešamo preču, pakalpojumu un būvdarbu iegādi veic saskaņā ar publisko iepirkumu reglamentējošiem normatīvajiem aktiem, īstenojot atklātu, pārredzamu, nediskriminējošu un konkurenci nodrošinošu konkursa procedūru, kā arī, ja attiecināms, nodrošina vides prasību integrāciju preču, pakalpojumu un būvdarbu iepirkumos un izvērtē sociāli atbildīga un inovatīva publiskā iepirkuma nosacījumu piemērošanu;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26-TA-1859</w:t>
    </w:r>
    <w:r>
      <w:br/>
    </w:r>
    <w:r w:rsidR="00000000" w:rsidRPr="00000000" w:rsidDel="00000000">
      <w:rPr>
        <w:rtl w:val="0"/>
      </w:rPr>
      <w:t xml:space="preserve">11.09.2026. 09.08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26-TA-1859</w:t>
    </w:r>
    <w:r>
      <w:br/>
    </w:r>
    <w:r w:rsidR="00000000" w:rsidRPr="00000000" w:rsidDel="00000000">
      <w:rPr>
        <w:rtl w:val="0"/>
      </w:rPr>
      <w:t xml:space="preserve">11.09.2026. 09.08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Izziņa_26-TA-1859.docx</dc:title>
</cp:coreProperties>
</file>

<file path=docProps/custom.xml><?xml version="1.0" encoding="utf-8"?>
<Properties xmlns="http://schemas.openxmlformats.org/officeDocument/2006/custom-properties" xmlns:vt="http://schemas.openxmlformats.org/officeDocument/2006/docPropsVTypes"/>
</file>