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23-TA-1107: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4.3.6.4. pasākuma "Atbalsta instrumentu izstrāde un ieviešana ģimenes funkcionalitātes stiprināšanai" otrās kārtas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Projektu iesniegumu atlases ietvaros pasākuma attiecināmo finansējumu indikatīvi 1 158 952 </w:t>
            </w:r>
            <w:r w:rsidR="00000000" w:rsidRPr="00000000" w:rsidDel="00000000">
              <w:rPr>
                <w:i w:val="1"/>
                <w:rtl w:val="0"/>
              </w:rPr>
              <w:t xml:space="preserve">euro</w:t>
            </w:r>
            <w:r w:rsidR="00000000" w:rsidRPr="00000000" w:rsidDel="00000000">
              <w:rPr>
                <w:rtl w:val="0"/>
              </w:rPr>
              <w:t xml:space="preserve"> apmērā no šo noteikumu 8. punktā minētā pasākuma kopējā attiecināmā finansējuma novirza šo noteikumu 3.1., 3.2., 3.3., 3.4. un 3.5. apakšpunktā minēto mērķa grupu atbalstam un pasākuma attiecināmo finansējumu indikatīvi 347 685 </w:t>
            </w:r>
            <w:r w:rsidR="00000000" w:rsidRPr="00000000" w:rsidDel="00000000">
              <w:rPr>
                <w:i w:val="1"/>
                <w:rtl w:val="0"/>
              </w:rPr>
              <w:t xml:space="preserve">euro</w:t>
            </w:r>
            <w:r w:rsidR="00000000" w:rsidRPr="00000000" w:rsidDel="00000000">
              <w:rPr>
                <w:rtl w:val="0"/>
              </w:rPr>
              <w:t xml:space="preserve"> apmērā – šo noteikumu 3.6. un 3.7. apakšpunktā minēto mērķa grupu atbalstam. Ja projektu iesniegumu atlasē neapstiprina projektu iesniegumus atbilstoši minētajam finansējuma sadalījumam, sadarbības iestāde organizē atkārtotu atklātu projektu iesniegumu atlasi un visu atlikušo finansējumu novirza šo noteikumu 3.6. un 3.7. apakšpunktā minēto mērķa grupu atbalstam.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Lūdzam MK noteikumus papildināt </w:t>
            </w:r>
            <w:r w:rsidR="00000000" w:rsidRPr="00000000" w:rsidDel="00000000">
              <w:rPr>
                <w:rtl w:val="0"/>
              </w:rPr>
              <w:t xml:space="preserve">ar nosacījumu, ka </w:t>
            </w:r>
            <w:r w:rsidR="00000000" w:rsidRPr="00000000" w:rsidDel="00000000">
              <w:rPr>
                <w:i w:val="1"/>
                <w:rtl w:val="0"/>
              </w:rPr>
              <w:t xml:space="preserve">ja izsludinātās atlases ietvaros apstiprināmo projektu iesniegumu attiecināmo izmaksu kopsumma pārsniedz kādu no MK noteikumu 10.punktā attiecīgajām mērķa grupām norādītajiem indikatīvā attiecināmā finansējuma apmēriem, tad atlases posmā sadarbības iestāde, saskaņojot ar atbildīgo iestādi, var savstarpēji pārdalīt MK noteikumu 10.punktā norādīto indikatīvo attiecināmā finansējuma sadalījumu starp MK noteikumu 3.1. - 3.5. apakšpunktā noteiktajām mērķa grupām un MK noteikumu 3.6 un 3.7. apakšpunktā noteiktajām mērķa grupām</w:t>
            </w:r>
            <w:r w:rsidR="00000000" w:rsidRPr="00000000" w:rsidDel="00000000">
              <w:rPr>
                <w:rtl w:val="0"/>
              </w:rPr>
              <w:t xml:space="preserve">. Ja izsludinātajā projektu iesniegumu atlasē neapstiprina projektu iesniegumus atbilstoši visam pieejamajam finansējumam, sadarbības iestāde var organizēt atkārtotu atklātu projektu iesniegumu atlasi un visu atlikušo finansējumu novirzot MK noteikumu 3.6. un 3.7. apakšpunktā minēto mērķa grupu atbalstam.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Vēršam uzmanību</w:t>
            </w:r>
            <w:r w:rsidR="00000000" w:rsidRPr="00000000" w:rsidDel="00000000">
              <w:rPr>
                <w:rtl w:val="0"/>
              </w:rPr>
              <w:t xml:space="preserve">, ka pašreizējā redakcija nenodrošina iespēju pārdalīt finansējumu starp mērķa grupām, gadījumos, kad atkārtotas atlases izsludināšana nav lietderīga, piemēram, ir izvērtēti un atzīti par atbilstošiem 9 projekti, kas paredzēti MK noteikumu 3.1.- 3.5. apakšpunktā nodarītajai mērķa grupai un 4 projekti par atbilstošiem MK noteikumu 3.6. un 3.7 apakšpunktā norādītajai mērķa grupai, bet 10.punktā norādītais finansējums šai mērķa grupai pietiek tikai 3 projektiem. Vai arī, piemēram, gadījumā, kad apstiprinot MK noteikumu 3.6.un 3.7.apakšpunktā norādītās mērķa grupas projektus, atlikušais finansējums ir neliels (nepietiekams cita projekta īstenošanai un jaunas atlases izsludināšanai), bet nodrošina iespēju atbalstīt pilnā apmērā MK noteikumu 3.1.- 3.5. apakšpunktā norādītās mērķa grupas atbilstošo projektu, kam norādītā indikatīvā finansējuma ietvaros ir pieejams finansējums tikai daļējā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 punkts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Projektu iesniegumu atlases ietvaros pasākuma attiecināmo finansējumu indikatīvi 1 158 952 </w:t>
            </w:r>
            <w:r w:rsidR="00000000" w:rsidRPr="00000000" w:rsidDel="00000000">
              <w:rPr>
                <w:i w:val="1"/>
                <w:rtl w:val="0"/>
              </w:rPr>
              <w:t xml:space="preserve">euro</w:t>
            </w:r>
            <w:r w:rsidR="00000000" w:rsidRPr="00000000" w:rsidDel="00000000">
              <w:rPr>
                <w:rtl w:val="0"/>
              </w:rPr>
              <w:t xml:space="preserve"> apmērā no šo noteikumu 8. punktā minētā pasākuma kopējā attiecināmā finansējuma novirza šo noteikumu 3.1., 3.2., 3.3., 3.4. un 3.5. apakšpunktā minēto mērķa grupu atbalstam un pasākuma attiecināmo finansējumu indikatīvi 347 685 </w:t>
            </w:r>
            <w:r w:rsidR="00000000" w:rsidRPr="00000000" w:rsidDel="00000000">
              <w:rPr>
                <w:i w:val="1"/>
                <w:rtl w:val="0"/>
              </w:rPr>
              <w:t xml:space="preserve">euro</w:t>
            </w:r>
            <w:r w:rsidR="00000000" w:rsidRPr="00000000" w:rsidDel="00000000">
              <w:rPr>
                <w:rtl w:val="0"/>
              </w:rPr>
              <w:t xml:space="preserve"> apmērā – šo noteikumu 3.6. un 3.7. apakšpunktā minēto mērķa grupu atbalstam. Ja projektu iesniegumu atlasē apstiprināmo projektu iesniegumu attiecināmā finansējuma kopsumma pārsniedz kādu no attiecīgajām mērķa grupām norādītajiem indikatīvā attiecināmā finansējuma apmēriem, sadarbības iestāde var pārdalīt attiecināmo finansējumu starp šo noteikumu 3.1., 3.2., 3.3., 3.4. un 3.5. apakšpunktā un šo noteikumu 3.6 un 3.7. apakšpunktā noteiktajām mērķa grupām. Ja projektu iesniegumu atlasē neapstiprina projektu iesniegumus par visu pasākuma ietvaros pieejamo attiecināmo finansējumu sadarbības iestāde var organizēt atkārtotu atklātu projektu iesniegumu atlasi, visu atlikušo finansējumu novirzot šo noteikumu 3.6. un 3.7. apakšpunktā minēto mērķa grupu atbalstam. Sadarbības iestāde minēto finansējuma pārdali un atkārtotas projektu iesniegumu atlases organizēšanu saskaņo ar saskaņo ar atbildīgo iestādi.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ievēro Ministru kabineta 2017. gada 28. februāra noteikumos Nr. 104 "Noteikumi par iepirkuma procedūru un tās piemērošanas kārtību pasūtītāja finansētiem projektiem" noteikto līguma slēgšanas tiesību piešķiršanas procedūru (ja attiecināms) un noteiktos ierobežojumus šādu līgumu slēgšanai, tai skaitā aizpilda un paraksta minēto noteikumu 1. pielikumā noteikto apliecinājumu par interešu konflikta neesību un pievieno to iepirkumu līgumu slēgšanas dokumentācijai;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tiek izslēgta komercdarbības atbalsta piešķiršana preču/pakalpojumu piegādātājiem, tiem jābūt izvēlētiem ievērojot caurspīdīgu, pārskatāmu, nediskriminējošu un konkurenci nodrošinošu procedūru, līdz ar to, lūdzam papildināt noteikumu projekta 26.2. apakšpunktu ar norādi, ka finansējuma saņēmējs publiskos iepirkumus veic nodrošinot atklātu, pārredzamu, nediskriminējošu un konkurenci nodrošinošu procedūru saskaņā ar normatīvajiem aktiem publisko iepirkumu jomā, un, kur tas ir attiecināms, īstenojot sociāli atbildīgus un inovatīvus iepirkumus.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26.3. apakšpunkts (iepriekš 26.2. apakšpunkts)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ievēro Ministru kabineta 2017. gada 28. februāra noteikumos Nr. 104 "Noteikumi par iepirkuma procedūru un tās piemērošanas kārtību pasūtītāja finansētiem projektiem" noteikto līguma slēgšanas tiesību piešķiršanas procedūru (ja attiecināms) un noteiktos ierobežojumus šādu līgumu slēgšanai, tai skaitā aizpilda un paraksta minēto noteikumu 1. pielikumā noteikto apliecinājumu par interešu konflikta neesību un pievieno to iepirkumu līgumu slēgšanas dokumentācijai, kā arī, veicot iepirkumus, īsteno konkurenci nodrošinošu, pārredzamu, atklātu, nediskriminējošu konkursa procedūru, un, kur tas ir attiecināms, īsteno sociāli atbildīgus un inovatīvus iepirkumus;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projektu iesniedzēji var būt biedrība vai nodibinājums, vai komersants, kas vienlaikus ir kvalificējami kā saimnieciskās darbības veicēji.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skaidrots, ka Labklājības ministrija secinājusi, ka pakalpojumi nav saimnieciska rakstura darbības, vienlaikus secinot, ka neizpildās Komercdarbības atbalsta kontroles likuma 5. panta 4. punkta pazīme.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lai konstatētu, vai pasākumā ir jāpiemēro komercdarbības atbalsta regulējums, vispirms tiek noteikts, vai atbalsts tiek sniegts ekonomiska rakstura darbībām - konkrētu subjektu saimnieciskai darbībai. Tikai pēc tam ir jāanalizē Komercdarbības atbalsta kontroles likuma 5.pantā minētās četras komercdarbības atbalsta pazīmes, t.sk. ietekme uz konkurenci un tirdzniecību Eiropas Savienībā (turpmāk – ES). Attiecīgi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informāciju anotācijā, iekļaujot uz faktiem balstītu Komercdarbības atbalsta kontroles likuma 5.pantā ietvertās 4. komercdarbības atbalsta pazīmes (atbalsta ietekme uz konkurenci un ES tirgu) izvērtējumu (šajā gadījumā ietverot noteikumu projektā kritērijus, kā tiks vērtēts katrs konkrētais projekts), jo nav pamata apgalvot, ka projektu iesniedzēji veidos jaunu pakalpojumu, kas turpmākā to darbībā būs neekonomisks (tiks sniegts klientiem bez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anotācijas dzēst 1. un 2. kritēriju limitētās ietekmes uz pārrobežu sadarbību pamatojumam, jo starptautisku organizāciju filiāļu izveide ir aktuāla (piemēram, Latvijas Samariešu apvienība un Latvijas Sarkanais Krusts), un valodas kritērijs ir attiecināms tikai uz kultūras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tiek secināts, ka atbalsts ir kvalificējams kā komercdarbības atbalsts, lūdzam papildināt gan noteikumu projektu ar komercdarbības atbalsta normām, ievērojot, ka īstenošanā iespējams piemērot Komisijas lēmumu (2011. gada 20. decembris) par Līguma par Eiropas Savienības darbību 106. panta 2. punkta piemērošanu valsts atbalstam attiecībā uz kompensāciju par sabiedriskajiem pakalpojumiem dažiem uzņēmumiem, kuriem uzticēts sniegt pakalpojumus ar vispārēju tautsaimniecisku nozīmi (2012/21/ES), gan anotāciju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sadaļu “V. Ar komercdarbības atbalsta saņemšanu saistītie nosacījumi”. Attiecīgi precizēta arī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 gadam (turpmāk – programma) 4.3.6. specifiskā atbalsta mērķa "Veicināt nabadzības vai sociālās atstumtības riskam pakļauto cilvēku, tostarp vistrūcīgāko un bērnu, sociālo integrāciju, jo īpaši attiecībā uz nelabvēlīgā situācijā esošām grupām" 4.3.6.4. pasākuma "Atbalsta instrumentu izstrāde un ieviešana ģimenes funkcionalitātes stiprināšanai" otro kārtu (turpmāk – pasākums);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4.3.6. specifiskā atbalsta mērķa "Veicināt nabadzības vai sociālās atstumtības riskam pakļauto cilvēku, tostarp vistrūcīgāko un bērnu, sociālo integrāciju" nosaukumu, atbilstoši Eiropas Savienības kohēzijas politikas programmā 2021.-2027.gadam apstiprinātajam.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 apakšpunkts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 gadam (turpmāk – programma) 4.3.6. specifiskā atbalsta mērķa "Veicināt nabadzības vai sociālās atstumtības riskam pakļauto cilvēku, tostarp vistrūcīgāko un bērnu, sociālo integrāciju" 4.3.6.4. pasākuma "Atbalsta instrumentu izstrāde un ieviešana ģimenes funkcionalitātes stiprināšanai" otro kārtu (turpmāk – pasākums);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Pasākumu īsteno atklātas projektu iesniegumu atlases veidā. Sadarbības iestāde atklātu projektu iesniegumu atlases termiņus saskaņo ar atbildīgo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6. punkta 2. teikumā ietvertā norma nedublē Centrālās finanšu un līgumu aģentūras kā Eiropas Savienības fondu 2021.-2027. gada plānošanas perioda sadarbības iestādes un Labklājības ministrijas kā atbildīgās iestādes starpresoru vienošanās noteikto, un pēc nepieciešamības svītrot 6. punkta 2.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izvērtējusi un secina, ka noteikumu projekta 6.punkta norma nedublē Centrālās finanšu un līgumu aģentūras kā Eiropas Savienības fondu 2021.-2027. gada plānošanas perioda sadarbības iestādes un Labklājības ministrijas (turpmāk – LM) kā atbildīgās iestādes starpresoru vienošanās noteikto attiecībā uz atklātu projektu iesniegumu atlases termiņu saskaņošanu.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Starpresoru vienošanās 5. punkts paredz, ka sadarbības iestāde pirms projektu iesniegumu atlases uzsākšanas izstrādā un iesniedz atbildīgajai iestādei informācijai projektu iesniegumu atlases laika grafiku, t.i., starpresoru vienošanās neparedz atlases termiņu oficiālu saskaņošanu.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Pasākumu īsteno atklātas projektu iesniegumu atlases veidā. Sadarbības iestāde atklātu projektu iesniegumu atlases termiņus saskaņo ar atbildīgo iestādi.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Maksimālais attiecināmais ESF Plus finansējuma apmērs nepārsniedz 85 procentus no projekta kopējā attiecināmā finansējuma. Valsts budžeta līdzfinansējums nav mazāks par 15 procentiem no projekta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noteikumu projekta 9. punktā norādīto procentuālo sadalījumu, lai ir nepārprotami saprotams, ka valsts budžeta līdzfinansējums nepārsniedz 8. punktā norādīto un ir apgriezti proporcionāls Eiropas Sociālā fonda Plus finansējuma procentuālam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apakšpunkta “Risinājuma apraksts”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Maksimālais attiecināmais ESF Plus finansējuma apmērs nepārsniedz 85 procentus no projekta kopējā attiecināmā finansējuma. Valsts budžeta līdzfinansējums nav mazāks par 15 procentiem no projekta kopējā attiecināmā finansējuma.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Īstenojot projektu,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26.punktu ar pienākumu finansējuma saņēmējam segt sadārdzinājumu, ņemot vērā, ka finansējuma saņēmējs ir juridiskā 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4.3.6.4. pasākuma mērķi ir paredzēts sasniegt pasākuma projektiem plānotā un pieejamā finansējuma ietvaros. Vienam projektam plānotais finansējums ir salīdzinoši neliels (līdz 115 895 </w:t>
            </w:r>
            <w:r w:rsidR="00000000" w:rsidRPr="00000000" w:rsidDel="00000000">
              <w:rPr>
                <w:i w:val="1"/>
                <w:rtl w:val="0"/>
              </w:rPr>
              <w:t xml:space="preserve">euro</w:t>
            </w:r>
            <w:r w:rsidR="00000000" w:rsidRPr="00000000" w:rsidDel="00000000">
              <w:rPr>
                <w:rtl w:val="0"/>
              </w:rPr>
              <w:t xml:space="preserve">) un projektu īstenošanas periods ir salīdzinoši īss (līdz 24 mēnešiem). Vadoties no minētā, projekta iesniedzējiem ir jāpiedāvā tādi atbalsta pakalpojumi mērķa grupas personām, lai projekta ietvaros nerastos būtisks izmaksu sadārdzinājums.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parakstot līgumu par projekta īstenošanu ar sadarbības iestādi, finansējuma saņēmējs paraksta arī apliecinājumu, ka visu sadārdzinājumu, kas radīsies projekta īstenošanas laikā, finansējuma saņēmējs apņemas segt no saviem finanšu līdzekļiem. Papildus tam arī Eiropas Komisijas regulējums attiecībā uz izmaksu sadārdzinājumu projektos neatļauj no ES fondiem finansēt izmaksu sadārdzinājumu, kas radies projektu īstenošanas laikā. Līdz ar to LM ieskatā nav nepieciešams dublēt MK noteikumos par pasākuma īstenošanu fondu regulējumu, kas ir noteikts Eiropas Komisijas normatīvajos aktos.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Īstenojot projektu, finansējuma saņēmējs: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piesaista šo noteikumu 17. punktā minēto atbalstāmo darbību īstenošanai nepieciešamo personālu vai īsteno iepirkumus, nodrošinot, ka projekta īstenošanas laikā tiek ievēroti interešu konflikta, korupcijas un krāpšanas novēršanas nosacījumi, un vismaz paredzot, ka projekta vadībā un īstenošanā iesaistītais personāls un iepirkumu līgumu izpildītāji ir informēti par korupcijas un interešu konflikta novēršanas jautājumiem, krāpšanas pazīmēm un pienākumu ziņot par konstatētajām aizdomām, kā arī ir informēti par ziņotāju aizsardzību atbilstoši Trauksmes celšanas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ka finansējuma saņēmējs izstrādā nosacījumus, kā tas pārliecinās par interešu konflikta, krāpšanas un korupcijas risku neesamību,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26.2. apakšpunktu un anotācijas 1.3. sadaļas “Risinājuma apraksts” papildināts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piesaista šo noteikumu 17. punktā minēto atbalstāmo darbību īstenošanai nepieciešamo personālu vai īsteno iepirkumus, nodrošinot, ka projekta īstenošanas laikā tiek ievēroti interešu konflikta, korupcijas un krāpšanas novēršanas nosacījumi, un vismaz paredzot, ka projekta vadībā un īstenošanā iesaistītais personāls un iepirkumu līgumu izpildītāji ir informēti par korupcijas un interešu konflikta novēršanas jautājumiem, krāpšanas pazīmēm un pienākumu ziņot par konstatētajām aizdomām, kā arī ir informēti par ziņotāju aizsardzību atbilstoši Trauksmes celšanas likumam;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izstrādā iekšējās kontroles sistēmu, ietverot tajā informāciju par interešu konflikta, krāpšanas, korupcijas risku un dubultā finansējuma novēršanas mehānismiem;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26.2.apakšpunktu, jo tajā iekļautā prasība - finansējuma  saņēmējam izstrādāt Iekšējās kontroles sistēmu, nav attiecināma uz privāto tiesību subjektiem (dotajā gadījumā biedrībām, nodibinājumiem un komersantiem), ņemot vērā, ka finansējuma saņēmējs nepieņem lēmumus par tālāku finansējuma piešķiršanu/sadali. Tādējādi no interešu konflikta jautājuma viedokļa, finansējuma saņēmējs saņem finansējumu un piesaista personālu, kā arī iepērk nepieciešamos materiālus u.c. atbilstoši </w:t>
            </w:r>
            <w:r w:rsidR="00000000" w:rsidRPr="00000000" w:rsidDel="00000000">
              <w:rPr>
                <w:u w:val="single"/>
                <w:rtl w:val="0"/>
              </w:rPr>
              <w:t xml:space="preserve">MK noteikumiem Nr.104*, kuros interešu konflikts jau tiek regulēts</w:t>
            </w:r>
            <w:r w:rsidR="00000000" w:rsidRPr="00000000" w:rsidDel="00000000">
              <w:rPr>
                <w:rtl w:val="0"/>
              </w:rPr>
              <w:t xml:space="preserve">. Līdz ar to visas prasības par interešu konfliktu, iekšējās kontroles sistēmu (ietverot korupciju) un arī Finanšu regulas 61.pants uz šo finansējuma saņēmēju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vertAlign w:val="superscript"/>
                <w:rtl w:val="0"/>
              </w:rPr>
              <w:t xml:space="preserve"> </w:t>
            </w:r>
            <w:r w:rsidR="00000000" w:rsidRPr="00000000" w:rsidDel="00000000">
              <w:rPr>
                <w:vertAlign w:val="subscript"/>
                <w:rtl w:val="0"/>
              </w:rPr>
              <w:t xml:space="preserve">Ministru kabineta 2017. gada 28. februāra noteikumos Nr. 104 "Noteikumi par iepirkuma procedūru un tās piemērošanas kārtību pasūtītāja finansētiem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atbilstoši precizēt anotācijā iekļauto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26.2. apakšpunkts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pirms uzsākt atbalsta pakalpojumu sniegšanu šo noteikumu 3. punktā minētajām mērķa grupu personām, par tām iesniedz informāciju sadarbības iestādē. Sadarbības iestāde pārbauda, vai šīs personas ir iesaistītas kādā no pasākuma projektiem un informē par to finansējuma saņēmēju;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apakšpunktu, izsakot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pirms uzsākt atbalsta pakalpojumu sniegšanu šo noteikumu 3. punktā minētajām mērķa grupu personām, par tām iesniedz informāciju sadarbības iestādē (norādot vārdu, uzvārdu, personas kodu, plānoto atbalsta pakalpojuma veidu). Sadarbības iestāde pārbauda, vai šīs personas ir iesaistītas kādā no pasākuma projektiem un vai ir saņemts atšķirīgs atbalsta pakalpojuma veids, un informē par to finansējuma saņēmēju.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26.5. apakšpunkts un 27. punkts (iepriekš kopā 26.4. apakšpunkts) ir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pirms uzsākt atbalsta pakalpojumu sniegšanu šo noteikumu 3. punktā minētajām mērķa grupu personām, par tām iesniedz informāciju sadarbības iestādē, norādot vārdu, uzvārdu, personas kodu un plānoto atbalsta pakalpojuma veidu;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šo noteikumu 17.2. apakšpunktā minētās atbalstāmās darbības īstenošanas un maksājuma pieprasījumu sagatavošanas nolūkā saskaņā ar normatīvajiem aktiem, kas nosaka Eiropas Savienības fondu projektu pārbaužu veikšanas kārtību 2021.-2027. gada plānošanas periodā, veic šo noteikumu 3. punktā minēto mērķa grupu personu atbilstības pārbaudi iesaistei šo noteikumu 25.3. apakšpunktā minētajos atbalsta pakalpojumos, kā arī veic minēto personu identificēšanu un uzskaiti, norādot vārdu, uzvārdu, personas kodu, veselības datus par atbilstību šo noteikumu 3.1. un 3.2. apakšpunktā minētajām mērķa grupām, datus, kas raksturo mērķa grupas personas atbilstību sociālās atstumtības un nabadzības riskam pakļautu iedzīvotāju grupai, un citu – personas datus nesaturošu –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Eiropas Komisijas vadlīnijām dalībnieku dati jāziņo par personām, kas gūst tiešu labumu no ESF+ atbalsta, t.i. pasākuma mērķa grupai tiks sniegts tiešs atbalsts, un veicamas dubultfinansējuma pārbaudes, tad lūdzam papildināt noteikumu projektu ar jaunu punktu, kurš noteiktu, ka finansējuma saņēmējs uzkrāj, uzskaita un iesniedz sadarbības iestādē apkopotus datus par atbalstu saņēmušajām noteikumu projekta 3. punktā minētajām personām atbilstoši Eiropas Parlamenta un Padomes 2021. gada 24. jūnija Regulas (ES) 2021/1057, ar ko izveido Eiropas Sociālo fondu Plus (ESF+) un atceļ Regulu (ES) Nr. 1296/2013, 1. pielikumam un Ministru kabineta 2023. gada 21. marta noteikumu Nr. 135 "Eiropas Savienības fondu projektu pārbaužu veikšanas kārtība 2021.–2027. gada plānošanas periodā" 1. pielikumam.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papildināt arī anotācijas 8.1.13. apakšsadaļu.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iespēju noteikt nacionālo rādītāju par dalībniekiem, ņemot vērā, ka noteikumu projektā paredzēta atbalsta pakalpojumu sniegšana mērķa grupai.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izstrādāt un īstenot jaunas pieejas atbalsta pakalpojumu sniegšanā no vardarbības cietušām personām atbilstoši to specifiskajām vajadzībām, lai novērstu atkārtotas vardarbības riskus un mazinātu vardarbības radītās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Mērķa sasniegšanai 4.3.6.4. pasākuma otrās kārtas projektu ietvaros tiks izstrādāti un ieviesti jauni atbalsta pakalpojumi vardarbības seku novēršanai un šobrīd (noteikumu projekta izstrādes laikā) nav iespējams prognozēt ne minēto pakalpojumu klāstu, ne sarežģītību, ne ilgumu, ne potenciālo mērķa grupu dalībnieku skaitu. Tāpēc nav iespējams prognozēt un noteikt mērķa grupas personu skaitu, kuram projektu ietvaros tiks sniegts atbalsts. Līdz ar to nav iespējams izvirzīt pamatotu un objektīvu nacionālo rādītāju par dalībnieku skaitu pasākuma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4.3.6.4. pasākuma otrajā kārtā nav plānots uzraudzības rādītājs, kura izpildei jāuzkrāj dati par projekta dalībniekiem saskaņā ar Regulu Nr.2021/1057 un jāgatavo dalībnieku pārskats saskaņā ar MK 2023. gada 21. marta noteikumu Nr. 135 “Eiropas Savienības fondu projektu pārbaužu veikšanas kārtība 2021.–2027. gada plānošanas periodā” 1. pielikumu. 4.3.6.4. pasākuma otrās kārtas projektos personas datu apstrāde tiks veikta tādā apjomā, kas nepieciešama, lai īstenotu projektus, tostarp, lai pārliecinātos par mērķa grupas atbilstību un dubultfinansējuma izslēgšanu, kā arī sagatavotu un iesniegtu sadarbības iestādē maksājuma pieprasījumu un tajā ietvertās informācijas un izdevumu pamatojošos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šo noteikumu 17.2. apakšpunktā minētās atbalstāmās darbības īstenošanas un maksājuma pieprasījumu sagatavošanas nolūkā saskaņā ar normatīvajiem aktiem, kas nosaka Eiropas Savienības fondu projektu pārbaužu veikšanas kārtību 2021.-2027. gada plānošanas periodā, veic šo noteikumu 3. punktā minēto mērķa grupu personu atbilstības pārbaudi iesaistei šo noteikumu 25.3. apakšpunktā minētajos atbalsta pakalpojumos, kā arī veic minēto personu identificēšanu un uzskaiti, norādot vārdu, uzvārdu, personas kodu, veselības datus par atbilstību šo noteikumu 3.1. un 3.2. apakšpunktā minētajām mērķa grupām, datus, kas raksturo mērķa grupas personas atbilstību sociālās atstumtības un nabadzības riskam pakļautu iedzīvotāju grupai, un citu – personas datus nesaturošu –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Projektu iesniegumu atlases kārtas ietvaros projektu īsteno ne ilgāk par 24 mēnešiem no dienas, kad ar sadarbības iestādi noslēgts līgums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vārdu "kārtas", ņemot vērā, ka saskaņā ar MK noteikumu 10.punktu otrās kārtas ietvaros var tikt izsludināta atkārtota atlase.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28. 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Projektu iesniegumu atlases ietvaros projektu īsteno ne ilgāk par 24 mēnešiem no dienas, kad ar sadarbības iestādi noslēgts līgums par projekta īstenošanu.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Komisijas 2023. gada 13. decembra Regulas (ES) 2023/2831 par Līguma par Eiropas Savienības darbību 107. un 108. panta piemērošanu de minimis atbalstam un Ministru kabineta 2018. gada 21. novembra noteikumos Nr. 715 "De minimis atbalsta uzskaites un piešķiršanas kārtība" noteiktajam, atbalsta sniedzējam un atbalsta pretendentam ir pienākums ievērot de minimis atbalsta piešķiršanas nevis tā saņemšanas nosacījumus. Lai nodrošinātu atbilstību iepriekš minēto normatīvo aktu prasībām, aicinām precizēt noteikumu projekta nodaļas "V. Ar komercdarbības atbalsta saņemšanu saistītie nosacījumi" nosaukumu un aizstāt vārdu “saņemšanu” ar vārdu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V. nodaļas nosaukums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piešķiršanu saistītie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atbalsta pretendents, iesniedzot atbalsta sniedzējam pieteikumu </w:t>
            </w:r>
            <w:r w:rsidR="00000000" w:rsidRPr="00000000" w:rsidDel="00000000">
              <w:rPr>
                <w:i w:val="1"/>
                <w:rtl w:val="0"/>
              </w:rPr>
              <w:t xml:space="preserve">de minimis</w:t>
            </w:r>
            <w:r w:rsidR="00000000" w:rsidRPr="00000000" w:rsidDel="00000000">
              <w:rPr>
                <w:rtl w:val="0"/>
              </w:rPr>
              <w:t xml:space="preserve"> atbalsta saņemšanai, pieteikumam pievieno sistēmā sagatavotās veidlapas izdruku vai norāda sistēmā sagatavotās pretendenta veidlapas identifikācijas numuru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šā gada 1.jūlijā stājās spēkā grozījumi Ministru kabineta 2018. gada 21. novembra noteikumos Nr. 715 "De minimis atbalsta uzskaites un piešķiršanas kārtība", lūdzam precizēt šo noteikumu 32.3. un 33.punktu, svītrojot vārdus "un de minimis atbalsta uzskaites veidlapu paraugiem".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32.3. apakšpunkts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atbalsta pretendents, iesniedzot atbalsta sniedzējam pieteikumu </w:t>
            </w:r>
            <w:r w:rsidR="00000000" w:rsidRPr="00000000" w:rsidDel="00000000">
              <w:rPr>
                <w:i w:val="1"/>
                <w:rtl w:val="0"/>
              </w:rPr>
              <w:t xml:space="preserve">de minimis</w:t>
            </w:r>
            <w:r w:rsidR="00000000" w:rsidRPr="00000000" w:rsidDel="00000000">
              <w:rPr>
                <w:rtl w:val="0"/>
              </w:rPr>
              <w:t xml:space="preserve"> atbalsta saņemšanai, pieteikumam pievieno sistēmā sagatavotās veidlapas izdruku vai norāda sistēmā sagatavotās pretendenta veidlapas identifikācijas numuru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apakšsadaļā “Risinājuma apraksts” iekļauto informāciju: “TA projekta 26.2. apakšpunktā minētā nosacījuma izpildei 4.3.6.4. pasākuma finansējuma saņēmējiem būs jāizstrādā iekšējās kontroles sistēma, kā tie pārliecinās par interešu konflikta, krāpšanas un korupcijas risku neesamību,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 ņemot vērā, ka prasība - finansējuma  saņēmējam izstrādāt Iekšējās kontroles sistēmu, nav attiecināma uz privāto tiesību subjektiem (skat. skaidrojumu pie MKN projekta 26.2.apakšpunkta priekšlikuma).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nepieciešamību papildināt anotāciju ar informāciju, ka finansējuma saņēmējs, lai nodrošinātu interešu konflikta neesamību, aizpilda un paraksta 2017. gada 28. februāra noteikumos Nr. 104 "Noteikumi par iepirkuma procedūru un tās piemērošanas kārtību pasūtītāja finansētiem projektiem" 1. pielikumā noteikto apliecinājumu par interešu konflikta neesību un pievieno to iepirkumu līgumu slēgšanas dokumentācijai, kā arī, veicot iepirkumus, īsteno konkurenci nodrošinošu, pārredzamu, atklātu, nediskriminējošu konkursa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 “Risinājuma apraksts precizēts. Finansējuma saņēmēja pienākums parakstīt 2017. gada 28. februāra noteikumos Nr. 104 "Noteikumi par iepirkuma procedūru un tās piemērošanas kārtību pasūtītāja finansētiem projektiem" 1. pielikumā noteikto apliecinājumu par interešu konflikta neesību un, veicot iepirkumus, īstenot konkurenci nodrošinošu, pārredzamu, atklātu, nediskriminējošu konkursa procedūru, ietverts anotācijas 8.1.13. un 8.2. apakšsadaļā.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1.3.sadaļā "Pašreizējā situācija, problēmas un risinājumi" pie komercdarbības atbalsta izvērtējuma norādīt informāciju "Maksimālās pieejamais finansējums vienam finansējuma saņēmējam 115 895 </w:t>
            </w:r>
            <w:r w:rsidR="00000000" w:rsidRPr="00000000" w:rsidDel="00000000">
              <w:rPr>
                <w:i w:val="1"/>
                <w:rtl w:val="0"/>
              </w:rPr>
              <w:t xml:space="preserve">euro </w:t>
            </w:r>
            <w:r w:rsidR="00000000" w:rsidRPr="00000000" w:rsidDel="00000000">
              <w:rPr>
                <w:rtl w:val="0"/>
              </w:rPr>
              <w:t xml:space="preserve">un vienā projektā paredzētas indikatīvi no 10 </w:t>
            </w:r>
            <w:r w:rsidR="00000000" w:rsidRPr="00000000" w:rsidDel="00000000">
              <w:rPr>
                <w:b w:val="1"/>
                <w:rtl w:val="0"/>
              </w:rPr>
              <w:t xml:space="preserve">līdz 25 </w:t>
            </w:r>
            <w:r w:rsidR="00000000" w:rsidRPr="00000000" w:rsidDel="00000000">
              <w:rPr>
                <w:rtl w:val="0"/>
              </w:rPr>
              <w:t xml:space="preserve">no vardarbības cietušām vai vardarbības riskam pakļautām personām", ņemot vērā, ka MK noteikumos un pārējā anotācijā nav iekļauts projektā iesaistāmo personu maksimālā skaita ierobežojums. Gadījumā, ja šāds ierobežojums ir paredzēts, tad lūdzam to iekļaut MK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precizēto komercdarbības atbalsta aprakstu, minētā informācija anotācijas 1.3. apakšsadaļas “Risinājuma apraksts” dzēsta.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sasaiste ar projektiem līdz 200 000 EUR, lūdzam anotācijā papildināt rindkopu "Ņemot vērā, ka 4.3.4.2. pasākumā tiek piemērota 40 % vienotā likme, lai segtu parējās projekta izmaksas, tad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53. panta 1. punkta a) apakšpunktu, bāzes izmaksas, no kurām rēķina vienoto likmi var būt kā faktiskās izmaksas" piedāvātā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4.3.6.4. pasākumā ir paredzēti projekti līdz 200 000 EUR un projektos tiks piemērota 40 % vienotā likme, lai segtu parējās projekta izmaksas, tad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53. panta 1. punkta a) apakšpunktu, bāzes izmaksas, no kurām rēķina vienoto likmi var būt kā faktiskās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 “Risinājuma apraksts”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uz mazajiem un vidējiem uzņēmējiem: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programmas iznākuma rādītājs ir arī "mikrouzņēmumi, mazie vai vidējie uzņēmumi", aicinām iekļaut ietekmes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2.2.4. apakšsadaļa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uz mazajiem un vidējiem uzņēmējiem: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lai sasniegtu MK noteikumu 4.1. apakšpunktā norādīto uzraudzības rādītāju, līgumi par projekta īstenošanu jānoslēdz līdz 31.12.2024., aicinām pārvērtēt norādīto informāciju "Projektu īstenošanas uzsākšana plānota indikatīvi no 2025. gada 1. ceturkšņa – 2027. gada 1.ceturksnim.".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izvērtējusi iespēju izpildīt noteikumu projekta 4.1. apakšpunktā noteiktā starpposma programmas iznākuma rādītāju (līdz 31.12.2024. – programmas iznākuma rādītājs: biedrības un nodibinājumi, mikrouzņēmumi, mazie vai vidējie uzņēmumi, kas saņēmuši atbalstu – 10)) un secina, ka sākotnējie pieņēmumi, ka 4.3.6.4. pasākuma otrās kārtas projektu iesniegumu atlase tiks uzsākta jau 2022. gada 3. ceturksnī un līdz 2024. gada beigām tiks noslēgti vismaz 10 līgumi par projektu īstenošanu ir kļūdaini. Faktiski projektu iesniegumu atlase uzsāksies 2024. gada 4. ceturksnī un līgumi par projektu īstenošanu tiks noslēgti indikatīvi 2025. gada sākumā. Attiecīgi starpposma iznākuma rādītāju sākotnēji plānotajā apjomā nav iespējams sasniegt līdz 2024. gada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LM ir iesniegusi vadošajā iestādē priekšlikumu grozījumiem Eiropas Savienības kohēzijas politikas programmā 2021.-2027. gadam un grozījumus rādītāju metodoloģijas aprakstā. Priekšlikums programmas grozījumiem paredz precizēt 4.3.6.4. pasākuma otrās kārtas iznākuma rādītāja i.4.3.6.a “Biedrības un nodibinājumi, mikrouzņēmumi, mazie vai vidējie uzņēmumi, kas saņēmuši atbalstu” starpposma vērtību no sākotnēji plānotajām 10 uz 0 biedrībām un nodibinājumiem un uzņēmumiem. Šobrīd netiek plānots samazināt iznākuma rādītāja kopējo vērtību uz 2029. gada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mērķa grupas personu datu apstrādes tiesisko pamatu. Norādām, ka projektā plānotajai personas datu apstrādei kā tiesiskais pamats ir norādāms spēkā esošs ārējais normatīvais akts (-i) un tā norma (-as), no kā ir izsecināma nepieciešamība apstrādāt personu datus projektā paredzētajā veidā, nebūtu norādāms pats 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8.13. apakšsadaļa ir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23-TA-1107</w:t>
    </w:r>
    <w:r>
      <w:br/>
    </w:r>
    <w:r w:rsidR="00000000" w:rsidRPr="00000000" w:rsidDel="00000000">
      <w:rPr>
        <w:rtl w:val="0"/>
      </w:rPr>
      <w:t xml:space="preserve">08.07.2024. 13.36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23-TA-1107</w:t>
    </w:r>
    <w:r>
      <w:br/>
    </w:r>
    <w:r w:rsidR="00000000" w:rsidRPr="00000000" w:rsidDel="00000000">
      <w:rPr>
        <w:rtl w:val="0"/>
      </w:rPr>
      <w:t xml:space="preserve">08.07.2024. 13.36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Izziņa_23-TA-1107.docx</dc:title>
</cp:coreProperties>
</file>

<file path=docProps/custom.xml><?xml version="1.0" encoding="utf-8"?>
<Properties xmlns="http://schemas.openxmlformats.org/officeDocument/2006/custom-properties" xmlns:vt="http://schemas.openxmlformats.org/officeDocument/2006/docPropsVTypes"/>
</file>