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22-TA-2189: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2021. gada 21. decembra noteikumos Nr. 885 "Kārtība, kādā valsts finansē profesionālās ievirzes sporta izglītības programmas"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2021. gada 21. decembra noteikumos Nr. 885 "Kārtība, kādā valsts finansē profesionālās ievirzes sporta izglītības programmas"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- 12.08.2022.)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ar Izglītības ministrijas (turpmāk – IZM) izstrādāto noteikumu projektu Grozījumi Ministru kabineta 2021. gada 21. decembra noteikumos Nr. 885 "Kārtība, kādā valsts finansē profesionālās ievirzes sporta izglītības programmas" (turpmāk – 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augsti novērtē un pateicas par rasto iespēju un ieguldījumu starpinstitūciju darba grupas izveidē. Vienlaikus, jāuzsver, ka LTRK aicina turpināt darba grupas uzsākto darbu, ņemot vērā konstatētos problēmjautājumus, kā arī virzīties uz noteikto mērķi, kas noteikts 2. maija IZM rīkojumā 1-2e/22/165 “Par starpinstitūciju darba grupas izveidi” - “pilnveidot  valsts  līdzfinansējuma treneru atalgojumam profesionālās ievirzes sporta izglītības programmu īstenošanai sadales kārtību un kritērijus,  kā  arī  paaugstināt  profesionālās ievirzes sporta izglītības programmu īstenošanas kvalitāti un efektivitāti”.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Situācija profesionālās ievirzes sporta izglītībā pēdējo desmit gadu laikā ir būtiski mainījusies, un pie finansējuma trūkuma šo faktoru ietekmē ir nepieciešams pārskatīt visu sporta izglītības sistēmu, tai skaitā finansēšanu kopskatā: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vairāk nekā 20% no profesionālās ievirzes sporta izglītības iestādēm ir privātās skolas;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izstrādāts valsts standarts sporta skolām;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Strauji pieaugošs izglītojamo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Pieaugošs jauno sporta speciālistu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Sporta politikas dokuments un nozares mērķi 2022. – 2027. gada periodam;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likumā pie autonomajām funkcijām tiek paredzēts iekļaut gādību par profesionālās ievirzes izglītību pašvaldības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Stagnācija sporta skolu darbā un Latvijas sportistu rezultātos (konkurētspēja starptautiskā mērogā);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Mainīgie konkurences apstākļi starp pašvaldības un privātajām skolām, tai skaitā iedzīvotāju preferences;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Unikālo izglītojamo uzskaites nepilnības sporta skolu un interešu izglītības sistēmās;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Jaunā pedagogu mērķdotācijas aprēķina un sadales kārtība vispārizglītojošās skolās (aprēķins uz izglītojamo pašvaldībā vai privātajā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Plānotie grozījumi Izglītības likumā, kas paredz privāto skolu līdzfinansēšanu no pašvaldības puses vispārizglītojošās skolās (kam secīgi var sekot arī profesionālās ievirzes izglītība).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Privāto skolu skaita un izglītojamo pieaugums liecina par nepieciešamību un pieprasījumu pēc pakalpojuma, kuru pašvaldība nav spējīga pietiekamā līmenī nodrošināt. Tiesību akta projekts paredz valsts paredzētā finansējuma sadalīšanas kārtību, bet nenosaka pašvaldību un privāto sporta skolu attiecības, lai primāri nodrošinātu pēc iespējas kvalitatīvāku un izdevīgāku pakalpojumu iedzīvotājiem, vienlaikus ievērojot godīgas konkurences principus starp privātajām un publiskajām personām pašvaldības teritorijā. Piedāvātais likmju fiksēšanas mehānisms ilgtermiņā nav sporta nozares attīstības interesēs, ierobežo konkurenci jaundibinātām skolām un var būt šķērslis sporta politikas pamatnostādnēs paredzēto mērķu sasniegšanā. Nav tikusi vērtēta tiesību aktu grozījumu ietekme vai sasaiste ar sporta nozares un sporta politikas mērķiem.Pie trūkstoša papildus finansējuma vai nepieciešamības pēc sistēmiskām reformām, ar īstermiņa mehānisma izvēli tiek grozīti MK noteikumi, kādā kārtībā esošās sistēmas ietvaros un bez papildus paredzētiem valsts budžeta līdzekļiem pārdalīt finansējumu 2022./23. mācību gadam. Pie ilgstoši mainīgās situācijas, kas var mainīties arī 2023./24. mācību gadā, sporta nozarē tas nav ilgtspējīgs risinājums, bet tikai problēmas atlikšana uz noteiktu laika periodu.Pie likmju fiksēšanas esošajām skolām tā kļūst par konkurences priekšrocību salīdzinājumā ar jaunajām skolām, kurām attiecīgi pedagoģiskais personāls ir jāfinansē caur alternatīviem finanšu avotiem vai pedagogi ir spiesti izvēlēties skolas, kurām šāds valsts finansējums tiek paredzēts.Pie nozarē trūkstošā finansējuma bažas rada pieaugošais sporta speciālistu/pedagogu skaits (kas ir arī viens no sporta politikas mērķiem), jo nav skaidrs, kur, par kādiem līdzekļiem jaunos speciālistus nodarbināt un noturēt sporta nozarē. Balstoties uz sporta politikas pamatprincipiem (labas pārvaldības un sistēmiskas pieejas principi) likmju fiksēšana kā pielietotais mehānisms gan ierobežo konkurenci, gan šauri pieiet daudz dziļākām nozares problēmām, katru jautājumu risinot atsevišķi, nevis sistēmiski.Nav atrasts risinājums SSG (sākuma sagatavošanas grupu) finansēšanas alternatīvām, kas ir visas sporta skolu sistēmas piramīdas pamats, lai vēlāk nodrošinātu grupu pēctecību un augstus rezultātus. Potenciāla bērnu skaita samazināšanās sporta skolu sistēmā, problēmas skolām nodrošināt pēctecību un pilnu izglītības programmas grupu piramīdu.LTRK norāda, ka darba grupas ietvaros tika uzsāktas būtiskas diskusijas, kuras būtu ļoti vēlams turpināt Latvijas sporta nozares attīstībai, tādējādi aicinām rast iespēju turpināt darba grupas darbu, rezultātā veidojot dialogu un kopīgiem spēkiem veicinot profesionālās ievirzes sporta izglītības Latvijā attīstību.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Nacionālās sporta padomes 2022. gada 11. augusta sēdē (prot. Nr.2 3.§) vienlaikus ar atbalstu Noteikumu projekta tālākai virzībai un to atbalstīšanu Ministru kabinetā, izteikts aicinājums (prot. Nr.2 3.§, 3.3. apakšpunkts) Izglītības un zinātnes ministrijai starpinstitūciju darba grupas vai citā atbilstošā formātā turpināt darbu pie profesionālās ievirzes sporta izglītības programmu finansēšanas modeļa pilnveides, lai paaugstinātu profesionālās ievirzes sporta izglītības programmu īstenošanas kvalitāti un efektivitāti, nodrošinātu Sporta politikas pamatnostādņu 2022. 2027. gadam (apstiprinātas ar Ministru kabineta 2022. gada 31. maija rīkojumu Nr. 397) 4.4. un 4.6. uzdevumu izpildi, kā arī atbilstoši Profesionālās izglītības likuma Pārejas noteikumu 42. punkta 18. apakšpunktā Ministru kabinetam dotam uzdevumam līdz 2023. gada 31. decembrim apstiprinātu valsts profesionālās ievirzes sporta izglītības standartu. (attiecīgi papildināta Anotācijas sadaļa 1.6. -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stājas spēkā 2022. gada 1. septembrī.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valsts budžeta finansējums profesionālās ievirzes sporta izglītības iestādēm tiek rēķināts budžeta gadam, lūdzam precizēt noteikumu spēkā stāšanās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stājas spēkā 2023.gada 1.janvārī.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 punktā noteikts, ka grozījumi, izņemot 1.5. apakšpunktu, stājas spēkā 2023. gada 1. janvārī. Paskaidrojam, ka sporta sacensībām atvēlēto stundu skaita nedēļā izmaiņām (6.pielikums) ir jāstājas spēkā 2022. gada 1. septembrī, jo jaunā mācību gada sākumā ir jābūt skaidrībai par sporta sacensībām atvēlēto stundu skaitu nedēļā. Pārējie grozījumi stāsies spēkā 2023. gada 1. janvārī, jo ir saistīti ar valsts budžeta līdzekļu aprēķināšanas kārtību un finansējuma apmēra noteikšanu katrai profesionālās ievirzes sporta izglītības iestādei (turpmāk - sporta skolai) 2023. un turpmākiem budžeta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(KP - 10.08.2022.)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noteikumu projekta Grozījumi Ministru kabineta 2021. gada 21. decembra noteikumos Nr. 885 "Kārtība, kādā valsts finansē profesionālās ievirzes sporta izglītības programmas", 22-TA-2189 (turpmāk – Noteikumi) anotācijā, viens no Noteikumu mērķiem ir pilnveidot profesionālās ievirzes sporta izglītības programmu finansēšanas kārtību, ieviešot mehānismu valsts finansējamo pedagoģisko likmju fiksēšanai atbilstoši iepriekšējā budžeta gadā izglītības iestādei valsts finansēto pedagoģisko likmju skaitam (ja ir izpildīti rezultativitātes kritēriji un nosacījumi, kā arī ir atbilstošs grupu skaits), t.i., 2022.gadā finansētajām sporta skolām 2023.gadā un turpmāk tiktu nodrošināts pedagoģisko likmju finansējums ne mazāks kā 2022.gadā (pedagoģisko likmju fiksēšana) vai, ja tiek pieprasītas mazāk pedagoģiskās likmes kā 2022.gadā, atbilstoši attiecīgo mācību treniņu grupās izglītības programmu īstenošanai nepieciešamajam pedagoģisko likmju skaitam un ja attiecīgajām mācību treniņu grupām 2021./2022.mācību gadā ir izpildīti rezultativitātes kritēriji sportā un nosacījumi attiecībā uz izglītojamo skaitu un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Noteikumu anotācijā, jauno sportistu sagatavošanas sistēma Latvijā balstās uz 89 profesionālās ievirzes sporta izglītības iestādēm, kurās 1847 treneru vadībā regulāri trenējas 44 695 bērni un jaunieši (2021./2022. mācību gadā valsts finansēto audzēkņu skaits - 39 833) 38 sporta veidos.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Secināts, ka, neieviešot attiecīgu mehānismu un nefiksējot valsts finansēto pedagoģisko likmju skaitu, kā arī katru budžeta gadu šim mērķim pieejamo valsts budžeta līdzekļu sadalē neņemot vērā iepriekšējā budžeta gadā katrai sporta skolai valsts piešķirto pedagoģisko likmju skaitu, tiek kavēts plānveidīgs sporta skolu darbs, kā arī, nekontrolēti pieaugot izglītojamo skaitam, prognozējams, ka valsts finansiālais nodrošinājums visām sporta skolām vēl vairāk samazināsies.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secina, ka, ieviešot attiecīgo mehānismu, tiesības saņemt valsts finansējumu profesionālās ievirzes sporta izglītības programmu īstenošanai būs tikai tām izglītības iestādēm, kas ir strādājušas jau iepriekšējā budžeta gadā, izpildot noteiktus kritērijus, un jaunām izglītības iestādēm nebūs tiesības saņemt valsts finansējumu. Kā arī noteikumu anotācijā ietverts prognozējamais nepieciešamais finansējamo pedagoģisko likmju skaits – 1875 likmes (līdzšinējo 1718 vietā), kas pirmšķietami plānots esošo izglītības iestāžu finansēšanai un neparedz jaunu tirgus dalībnieku iespējamo iesaisti šajā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KP lūdz IZM skaidrot, vai konkrētā plānotā finansēšanas mehānisma ietvaros būs iespējama jaunu profesionālās ievirzes sporta izglītības iestāžu ienākšana šajā tirgū, lai konkurētu ar jau strādājošām izglītības iestādēm (t.sk., ņemot vērā Noteikumu anotācijā norādīto, ka audzēkņu skaits ar katru gadu palielinās, kas ļauj izdarīt secinājumu par sabiedrības nepieciešamību pēc profesionālās ievirzes sporta izglītības) un kāda būs šo izglītības iestāžu iespēja saņemt valsts finansējumu līdzvērtīgi jau strādājošām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Noteikumus ar regulējumu, kas noteiktu skaidri zināmus kritērijus un nosacījumus, kā uz valsts finansējuma saņemšanu būtu iespējams pretendēt tiem pakalpojumu sniedzējiem, kas iepriekšējā budžeta gadā nav saņēmuši attiecīgo valsts finansējumu, t.sk. jauniem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izstrādāts atbilstoši Latvijas Nacionālās sporta padomes 2022. gada 5. maija sēdē nolemtajam par nepieciešamību izstrādāt priekšlikumus grozījumiem finansēšanas kārtības noteikumos ar mērķi pilnveidot valsts līdzfinansējuma treneru atalgojumam profesionālās ievirzes sporta izglītības programmu īstenošanai sadales kārtību un kritērijus, tai skaitā paredzot mehānismu valsts budžeta finansējamo izglītojamo kopējā skaita noteikšanai, kā arī tam nepieciešamo valsts budžeta finansējamo pedagoģisko likmju noteikšanai un to sadalījumam pa izglītības iestādēm. Noteikumos ietverts finansēšanas kārtības pilnveides nodrošināšanas sākotnējais risinājums – šobrīd izstrādātie grozījumi  – saistībā ar pedagoģisko likmju fiksēšanu. Precizētā finansēšanas kārtība – Izglītības iestādei piešķiramās dotācijas apmēra aprēķināšanai izmantojamās formulas, cita starpā ietverot pieprasīto pedagoģisko likmju skaitu, kas nepārsniedz izglītības iestādē iepriekšējā budžeta gadā valsts finansēto pedagoģisko likmju skaitu, vienlaikus neizslēdz iespēju pretendēt uz valsts budžeta finansējumu arī jaunām izglītības iestādēm, ja ir pieejams papildus finansējums. Papildus finansējuma nodrošināšana nav attiecināma uz Noteikumu projektu, jo valsts budžeta jautājumi tiks izskatīti likumprojekta "Par valsts budžetu 2023. gadam" un likumprojekta "Par vidēja termiņa budžeta ietvaru 2023., 2024. un 2025. gadam" sagatavošanas procesā.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anotācija (1.5. apakšpunkts) ir papildināta ar informāciju, ka Latvijas Nacionālās sporta padomes 2022. gada 11. augusta sēdē (prot. Nr.2 3.§) izteikts aicinājums (3.3. apakšpunkts) Izglītības un zinātnes ministrijai starpinstitūciju darba grupas vai citā atbilstošā formātā turpināt darbu pie profesionālās ievirzes sporta izglītības programmu finansēšanas modeļa pilnveides, lai paaugstinātu profesionālās ievirzes sporta izglītības programmu īstenošanas kvalitāti un efektivitāti, nodrošinātu Sporta politikas pamatnostādņu 2022. 2027. gadam (apstiprinātas ar Ministru kabineta 2022. gada 31. maija rīkojumu Nr. 397) 4.4. un 4.6. uzdevumu izpildi, kā arī atbilstoši Profesionālās izglītības likuma Pārejas noteikumu 42. punkta 18. apakšpunktā Ministru kabinetam dotam uzdevumam līdz 2023. gada 31. decembrim apstiprinātu valsts profesionālās ievirzes sporta izglītības standartu.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Izglītības iestādei piešķiramās dotācijas apmēru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 = Fp(1)+Fp(2), kur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 – izglītības iestādei piešķiramais kopējais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Fp(1) – izglītības iestādei piešķiramā finansējuma daļa,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Fp(1) = </w:t>
            </w:r>
            <w:r w:rsidR="00000000" w:rsidRPr="00000000" w:rsidDel="00000000">
              <w:rPr>
                <w:u w:val="single"/>
                <w:rtl w:val="0"/>
              </w:rPr>
              <w:t xml:space="preserve">Dot        </w:t>
            </w:r>
            <w:r w:rsidR="00000000" w:rsidRPr="00000000" w:rsidDel="00000000">
              <w:rPr>
                <w:rtl w:val="0"/>
              </w:rPr>
              <w:t xml:space="preserve"> x ΣF(1)MAXi,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ΣF(1)MAX</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Dot – kārtējā gada budžeta likumā plānotais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ΣF(1)MAX – kopējais nepieciešamais finansējuma nodrošinājums iepriekšējā budžeta gadā finansētajām izglītības iestādēm, ko aprēķina, ievērojot pieprasīto pedagoģisko likmju skaitu katrā izglītības iestādē, kas nepārsniedz izglītības iestādē iepriekšējā budžeta gadā valsts finansēto pedagoģisko likmju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F(1)MAXi – maksimālā finansējuma nodrošinājums izglītības iestādei gadā, ko aprēķina, ievērojot pieprasīto pedagoģisko likmju skaitu, kas nepārsniedz izglītības iestādē iepriekšējā budžeta gadā valsts finansēto pedagoģisko likmju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Piezīme</w:t>
            </w:r>
            <w:r w:rsidR="00000000" w:rsidRPr="00000000" w:rsidDel="00000000">
              <w:rPr>
                <w:rtl w:val="0"/>
              </w:rPr>
              <w:t xml:space="preserve">: </w:t>
            </w:r>
            <w:r w:rsidR="00000000" w:rsidRPr="00000000" w:rsidDel="00000000">
              <w:rPr>
                <w:u w:val="single"/>
                <w:rtl w:val="0"/>
              </w:rPr>
              <w:t xml:space="preserve">Dot        </w:t>
            </w:r>
            <w:r w:rsidR="00000000" w:rsidRPr="00000000" w:rsidDel="00000000">
              <w:rPr>
                <w:rtl w:val="0"/>
              </w:rPr>
              <w:t xml:space="preserve">   ≤ 1 (jābūt mazākam par 1 vai vienādam ar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ΣF(1)MAX</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Fp(2) – izglītības iestādei piešķiramā finansējuma daļa,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Fp(1) = </w:t>
            </w:r>
            <w:r w:rsidR="00000000" w:rsidRPr="00000000" w:rsidDel="00000000">
              <w:rPr>
                <w:u w:val="single"/>
                <w:rtl w:val="0"/>
              </w:rPr>
              <w:t xml:space="preserve">Fp(1)ATL</w:t>
            </w:r>
            <w:r w:rsidR="00000000" w:rsidRPr="00000000" w:rsidDel="00000000">
              <w:rPr>
                <w:rtl w:val="0"/>
              </w:rPr>
              <w:t xml:space="preserve"> x ΣF(2)MAXi,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ΣF(2)MAX</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Fp(1)ATL – atlikumu kopsumma, ja izglītības iestādes pieprasītais pedagoģisko likmju skaits budžeta gadam ir mazāks kā iepriekšējā budžeta gadā valsts finansētais pedagoģisko likmju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ΣF(2)MAX – kopējais nepieciešamais finansējuma nodrošinājums, ko aprēķina, iepriekšējā budžeta gadā finansētajām izglītības iestādēm, ievērojot izglītības iestādes iepriekšējā budžeta gadā pieprasīto pedagoģisko likmju skaitu, kas pārsniedz izglītības iestādei iepriekšējā budžeta gadam valsts finansēto pedagoģisko likmju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F(2)MAXi – maksimālā finansējuma nodrošinājums izglītības iestādei gadā, ko aprēķina, iepriekšējā budžeta gadā finansētajai izglītības iestādei, ievērojot iepriekšējā budžeta gadā pieprasīto pedagoģisko likmju skaitu, kas pārsniedz izglītības iestādei iepriekšējā budžeta gadam valsts finansēto pedagoģisko likmju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Piezīme:</w:t>
            </w:r>
            <w:r w:rsidR="00000000" w:rsidRPr="00000000" w:rsidDel="00000000">
              <w:rPr>
                <w:rtl w:val="0"/>
              </w:rPr>
              <w:t xml:space="preserve"> Fp(1)ATL ≤ ΣF(2)MAX (jābūt mazākam par ΣF(2)MAX vai vienādam ar ΣF(2)MAX).</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tehnisko neprecizitāti Fp(2) formulā, Fp(1) aizstājot ar Fp(2).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Tehniskā neprecizitāte novērsta.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Izglītības iestādei piešķiramās dotācijas apmēru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 = Fp(1)+Fp(2), kur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 – izglītības iestādei piešķiramais kopējais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Fp(1) – izglītības iestādei piešķiramā finansējuma daļa,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Fp(1) = </w:t>
            </w:r>
            <w:r w:rsidR="00000000" w:rsidRPr="00000000" w:rsidDel="00000000">
              <w:rPr>
                <w:u w:val="single"/>
                <w:rtl w:val="0"/>
              </w:rPr>
              <w:t xml:space="preserve">Dot        </w:t>
            </w:r>
            <w:r w:rsidR="00000000" w:rsidRPr="00000000" w:rsidDel="00000000">
              <w:rPr>
                <w:rtl w:val="0"/>
              </w:rPr>
              <w:t xml:space="preserve"> x ΣF(1)MAXi,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ΣF(1)MAX</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Dot – kārtējā gada budžeta likumā plānotais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ΣF(1)MAX – kopējais nepieciešamais finansējuma nodrošinājums iepriekšējā budžeta gadā finansētajām izglītības iestādēm, ko aprēķina, ievērojot pieprasīto pedagoģisko likmju skaitu katrā izglītības iestādē, kas nepārsniedz izglītības iestādē iepriekšējā budžeta gadā valsts finansēto pedagoģisko likmju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F(1)MAXi – maksimālā finansējuma nodrošinājums izglītības iestādei gadā, ko aprēķina, ievērojot pieprasīto pedagoģisko likmju skaitu, kas nepārsniedz izglītības iestādē iepriekšējā budžeta gadā valsts finansēto pedagoģisko likmju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Piezīme</w:t>
            </w:r>
            <w:r w:rsidR="00000000" w:rsidRPr="00000000" w:rsidDel="00000000">
              <w:rPr>
                <w:rtl w:val="0"/>
              </w:rPr>
              <w:t xml:space="preserve">: </w:t>
            </w:r>
            <w:r w:rsidR="00000000" w:rsidRPr="00000000" w:rsidDel="00000000">
              <w:rPr>
                <w:u w:val="single"/>
                <w:rtl w:val="0"/>
              </w:rPr>
              <w:t xml:space="preserve">Dot        </w:t>
            </w:r>
            <w:r w:rsidR="00000000" w:rsidRPr="00000000" w:rsidDel="00000000">
              <w:rPr>
                <w:rtl w:val="0"/>
              </w:rPr>
              <w:t xml:space="preserve">   ≤ 1 (jābūt mazākam par 1 vai vienādam ar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ΣF(1)MAX</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Fp(2) – izglītības iestādei piešķiramā finansējuma daļa, ko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Fp(2) = </w:t>
            </w:r>
            <w:r w:rsidR="00000000" w:rsidRPr="00000000" w:rsidDel="00000000">
              <w:rPr>
                <w:u w:val="single"/>
                <w:rtl w:val="0"/>
              </w:rPr>
              <w:t xml:space="preserve">Fp(1)ATL</w:t>
            </w:r>
            <w:r w:rsidR="00000000" w:rsidRPr="00000000" w:rsidDel="00000000">
              <w:rPr>
                <w:rtl w:val="0"/>
              </w:rPr>
              <w:t xml:space="preserve"> x ΣF(2)MAXi,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ΣF(2)MAX</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Fp(1)ATL – atlikumu kopsumma, ja izglītības iestādes pieprasītais pedagoģisko likmju skaits budžeta gadam ir mazāks kā iepriekšējā budžeta gadā valsts finansētais pedagoģisko likmju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ΣF(2)MAX – kopējais nepieciešamais finansējuma nodrošinājums, ko aprēķina, iepriekšējā budžeta gadā finansētajām izglītības iestādēm, ievērojot izglītības iestādes iepriekšējā budžeta gadā pieprasīto pedagoģisko likmju skaitu, kas pārsniedz izglītības iestādei iepriekšējā budžeta gadam valsts finansēto pedagoģisko likmju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F(2)MAXi – maksimālā finansējuma nodrošinājums izglītības iestādei gadā, ko aprēķina, iepriekšējā budžeta gadā finansētajai izglītības iestādei, ievērojot iepriekšējā budžeta gadā pieprasīto pedagoģisko likmju skaitu, kas pārsniedz izglītības iestādei iepriekšējā budžeta gadam valsts finansēto pedagoģisko likmju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Piezīme:</w:t>
            </w:r>
            <w:r w:rsidR="00000000" w:rsidRPr="00000000" w:rsidDel="00000000">
              <w:rPr>
                <w:rtl w:val="0"/>
              </w:rPr>
              <w:t xml:space="preserve"> Fp(1)ATL ≤ ΣF(2)MAX (jābūt mazākam par ΣF(2)MAX vai vienādam ar ΣF(2)MAX).</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Grupām nepieciešamo finansējumu aprēķina, ievērojot: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- 08.08.2022.)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grozīt noteikumu 8.punktā noteiktās formulas un formulās vairs netiks izmantots rādītājs "grupām nepieciešamais finansējums", bet gan tiks izmantots rādītājs "pedagoģisko likmju skaits", lūdzam precizēt šo punktu, nosakot, kā tiks aprēķināts no valsts budžeta līdzekļiem finansējamo pedagoģisko likmju skaits.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9. punkta ievaddaļa precizēta, vārdu "Grupām" aizstājot ar vārdiem "Pedagoģiskajām likmēm".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Pedagoģiskajām likmēm nepieciešamo finansējumu aprēķina, ievērojot: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tiesību akta projekta "Grozījumi Ministru kabineta 2021. gada 21. decembra noteikumos Nr. 885 "Kārtība, kādā valsts finansē profesionālās ievirzes sporta izglītības programmas"" sākotnējās ietekmes novērtējuma ziņojumā 1.3. apakšadaļā "Risinājuma apraksts" sniegt skaidrojumu iepriekš neatrunātiem saīsinājumiem: "MT-2 grupa", "MT-3 grupa", "MT-4 grupa", "MT-5 grupa", "MT-6 grupa", "MT-7 grupa", "SMP-1 grupa", "SMP-2 grupa", "SMP-3 grupa" un "ASM grupa".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redakcionāli precizēta. Paskaidorjam, ka Noteikumu projekta 1.4.apakšpunktā 6.pielikuma saīsinājumi un lietotais jēdziens “mācību treniņu grupa” ir vispārīgs jēdziens, kas apzīmē mācību treniņu grupas dažādos kvalifikācijas līmeņos. Sākuma sagatavošanas grupa, konkrēta apmācības gada mācību treniņu grupa, sporta meistarības pilnveides grupa, augstākās sporta meistarības grupa ir mācību treniņu grupu kvalifikācijas līmeņu raksturotāji un tādā formulējumā tie ietverti 20V un 30V profesionālās ievirzes sporta izglītības programmās un mācību plānos.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22-TA-2189</w:t>
    </w:r>
    <w:r>
      <w:br/>
    </w:r>
    <w:r w:rsidR="00000000" w:rsidRPr="00000000" w:rsidDel="00000000">
      <w:rPr>
        <w:rtl w:val="0"/>
      </w:rPr>
      <w:t xml:space="preserve">24.08.2022. 11.07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22-TA-2189</w:t>
    </w:r>
    <w:r>
      <w:br/>
    </w:r>
    <w:r w:rsidR="00000000" w:rsidRPr="00000000" w:rsidDel="00000000">
      <w:rPr>
        <w:rtl w:val="0"/>
      </w:rPr>
      <w:t xml:space="preserve">24.08.2022. 11.07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Izziņa_22-TA-2189.docx</dc:title>
</cp:coreProperties>
</file>

<file path=docProps/custom.xml><?xml version="1.0" encoding="utf-8"?>
<Properties xmlns="http://schemas.openxmlformats.org/officeDocument/2006/custom-properties" xmlns:vt="http://schemas.openxmlformats.org/officeDocument/2006/docPropsVTypes"/>
</file>