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23-TA-1261: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Mājas (istabas) dzīvnieka atsavināšanas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dzīvnieka atsavināšanas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organizācijas ir iepazinušās ar TAP portālā pieejamo MK noteikumu projektu “Prasības mājas (istabas) dzīvnieka atsavināšanai un sludinājumam”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II nodaļā nav iekļautas norādes par dokumentu, kuru dzīvnieka atsavinātājam ir pienākums izsniegt jaunajam dzīvnieka īpašniekam par konkrētās dzīvnieku sugas turēšanas prasībām, saskaņā ar Dzīvnieku aizsardzības likuma grozījumiem (18.3 pants. (1) Mājas (istabas) dzīvnieka īpašnieks, atsavinot dzīvnieku, tā nākamajam īpašniekam sniedz rakstveida informāciju par dzīvnieka vecumu, sugu un šķirni, izcelsmes valsti, veselības stāvokli, apzīmēšanu un reģistrāciju, uzvedības un turēšanas īpatnībām.).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IV nodaļā nepieciešams papildināt ar normu, ka šķirnes mājas (istabas) dzīvnieku atļauts atsavināt tikai šķirnes mājas (istabas) dzīvnieku audzētājiem, kuri iekļauti LDC iesniegtos sarakstos, citādi zūd jēga šo sarakstu iesniegšanai LDC, kā arī patērētājs – jaunais dzīvnieka īpašnieks – nav pietiekami informēts, kur var saņemt šo informāciju par godprātīgiem dzīvnieku audzētājiem.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neradītu iespējas spekulēt ar viena mikroshēmas numura izmantošanu metienam vai nekontrolējamam skaitam dzīvnieku, IV nodaļa papildināma ar normu, ka dzīvnieka atsavināšanai noformējams sludinājums uz katru individuālu dzīvnieku, tajā norādot šī konkrētā dzīvnieka mikroshēmas numuru. Attiecīgi, izdalāmi divi sludinājumu veidi: 1) metiena reklāma pirms dzīvnieks sasniedzis atsavināšanas vecumu, ja tas nav apzīmēts ar mikroshēmu, kurā norāda dzīvnieka mātes mikroshēmas numuru – pēc šī numura pārbaudes LDC publiski pieejamā informācijā būtu jābūt iespējai redzēt, ka dzīvnieka mātes īpašnieks ir veicis atzīmi LDC datubāzē par dzīvnieka pavairošanas faktu – nākamam dzīvnieka īpašniekam ir jābūt drošam, ka tas iegādājas dzīvnieku no labticīga un likumpaklausīga dzīvnieka īpašnieka; 2) individuālais sludinājums par vienu dzīvnieku, kurā norādīts tā unikālais mikroshēmas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kā ar grozījumiem Veterinārmedicīnas likumā noteikts, ka obligāta būs arī kaķu apzīmēšana un reģistrēšana, šajos noteikumos nav pamata 13.5.punktā aprobežoties tikai ar suņu nosaukšanu – paredzams, ka kaķu apzīmēšana būs obligāta, ja kaķis tiek atsavināts, tam ir jābūt skaidri saprotamam no šiem noteikumiem, kur jaunajam kaķa īpašniekam būtu saņemama pilna informācija, kā tiesiski korekti tiek atsavināti kaķi.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atbalsta un iesniedz šādas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Dzīvnieku aizsardzības biedrība “Vidzemes ķepas”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“Dzīvnieku pansija Ulubele”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Cēsu Dzīvnieku aizsardzības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Biedrība “Zanimal Hope”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Dzīvnieku Tiesību Aizsardzības biedrība “Animal Rights Association B.&amp;T.”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Dzīvnieku aizsardzības biedrība “Ķepu ķepā”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Biedrība “Ar sirdi delnā”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Biedrība “Nepērc – Adoptē”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Nodibinājums “dzivniekupolicija.lv”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Biedrība “Ķepu sargi”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Biedrība Dzīvnieku palīdzības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Biedrība Palīdzēsim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Kaķu palīdzības biedrība "Iespēja dzīvot"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Kaķu palīdzības centrs "Remi"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Biedrība “Katta”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Dzīvnieku aizsardzības biedrība "Dzīvnieku 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Biedrība “Madonas dzīvnieku draugi”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Biedrība "Sedas kaķi"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Biedrība "Dzīvnieku Sargi"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Dzīvnieku aizsardzības biedrība "9Dzīvības"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Biedrība "Murrā!"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Biedrība "Kaķu palīdzība "Maks""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Biedrība "ŠRI GANEŠA"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Biedrība "Krāslavas dzīvnieku patversme"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Dzīvnieku Aizsardzības biedrība "SILTĀ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Nodibinājums "Labdarības fonds Sofi"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saskaņošanai ir nodots noteikumu projekts “Mājas (istabas) dzīvnieka atsavināšanas noteikumi”, kura aktuālajā redakcijā (uz 02.04.2024.) nav dalījums nodaļās. Savukārt Tiesību aktu portāla (TAP) lietošanai ir izstrādāta noteikta kārtība, tajā skaitā iebildumu/priekšlikumu iesniegšanas kārtība. Iebildumi vai priekšlikumi jāiesniedz atbilstošajā sadaļā un pie konkrēta noteikumu projekta vai anotācijas punkta, uz kuru tas attiecas. Turpmāk lūdzam ievērot iepriekš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sekojošu skaidrojumu uz sniegtajiem iebildumiem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Dzīvnieku aizsardzības likuma 18.</w:t>
            </w:r>
            <w:r w:rsidR="00000000" w:rsidRPr="00000000" w:rsidDel="00000000">
              <w:rPr>
                <w:vertAlign w:val="superscript"/>
                <w:rtl w:val="0"/>
              </w:rPr>
              <w:t xml:space="preserve">3</w:t>
            </w:r>
            <w:r w:rsidR="00000000" w:rsidRPr="00000000" w:rsidDel="00000000">
              <w:rPr>
                <w:rtl w:val="0"/>
              </w:rPr>
              <w:t xml:space="preserve"> panta trešajā daļā ir noteikti pilnvarojumi Ministru kabinetam attiecībā uz mājas (istabas) dzīvnieku atsavināšanu, uz kā pamata ir izstrādāts Ministru kabineta noteikumu projekts “Mājas (istabas) dzīvnieka atsavināšanas noteikumi”. Savukārt Dzīvnieku aizsardzības likuma 18.</w:t>
            </w:r>
            <w:r w:rsidR="00000000" w:rsidRPr="00000000" w:rsidDel="00000000">
              <w:rPr>
                <w:vertAlign w:val="superscript"/>
                <w:rtl w:val="0"/>
              </w:rPr>
              <w:t xml:space="preserve">3</w:t>
            </w:r>
            <w:r w:rsidR="00000000" w:rsidRPr="00000000" w:rsidDel="00000000">
              <w:rPr>
                <w:rtl w:val="0"/>
              </w:rPr>
              <w:t xml:space="preserve"> panta pirmajā daļā ir noteikts pienākums mājas (istabas) dzīvnieka īpašniekam, atsavinot dzīvnieku, tā nākamajam īpašniekam sniegt rakstveida informāciju par dzīvnieka vecumu, sugu un šķirni, izcelsmes valsti, veselības stāvokli, apzīmēšanu un reģistrāciju, uzvedības un turēšanas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projekta 7.2. apakšpunktu sludinājumā sniedzama informācija par mājas (istabas) dzīvnieka šķirni, šķirnes mājas (istabas) dzīvnieku audzētāju organizācijas un audzētavas vai audzētāja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Dzīvnieku aizsardzības likuma 9. panta pirmās daļas 1. punkta a) apakšpunktu Pārtikas un veterinārais dienests uzrauga un kontrolē sludinājumus par suņu, kaķu vai mājas (istabas) sesku atsavināšanu. Pārtikas un veterinārajam dienestam ir autorizēta pieeja datubāzei, lai veiktu iepriekš minēto uzraudzību. Savukārt dzīvnieku pavairošanas jautājumi tiek regulēti Dzīvnieku aizsardzības likuma 17.¹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Lūdzu skatīt aktuālo – 02.04.2024. saskaņošanai nosūtīto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apakšpunkta redakciju, kurā ir paredzēts norādīt suņa, kaķa un mājas (istabas) seska mikroshēmas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dzīvnieka atsavināšanas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Mājas (istabas) dzīvnieku aizliegts atsavināt: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 4. un 5. punkta atbilstību likumprojekta "Grozījumi Dzīvnieku aizsardzības likumā" (reģistra Nr. 148/Lp14) (turpmāk - likumprojekts) 4. pantā ietvertajam Dzīvnieku aizsardzības likuma 18.</w:t>
            </w:r>
            <w:r w:rsidR="00000000" w:rsidRPr="00000000" w:rsidDel="00000000">
              <w:rPr>
                <w:vertAlign w:val="superscript"/>
                <w:rtl w:val="0"/>
              </w:rPr>
              <w:t xml:space="preserve">3</w:t>
            </w:r>
            <w:r w:rsidR="00000000" w:rsidRPr="00000000" w:rsidDel="00000000">
              <w:rPr>
                <w:rtl w:val="0"/>
              </w:rPr>
              <w:t xml:space="preserve"> panta trešās daļas 2. punktā ietvertajam pilnvarojumam, proti, tas paredz, ka Ministru kabinets nosaka prasības attiecībā uz atsavināmā mājas (istabas) dzīvnieka fizioloģiju un veselības stāvokli. Vēršam uzmanību, ka minētie projekta punkti ietver aizliegumu mājas (istabas) dzīvnieku atsavināt, nevis prasības attiecībā uz atsavināmā mājas (istabas) dzīvnieka fizioloģiju un veselības stāvokli. Jo īpaši aicinām izvērtēt, vai projekta 5.punkts atbilst pilnvarojumam, jo tajā nav ietvertas prasības attiecībā uz dzīvnieka fizioloģiju un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 un 5. punkta redakcija, savukārt 6.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Mājas (istabas) dzīvnieku atsavina: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suņa mikroshēmas numurs vai sunim, kas ir jaunāks par astoņām nedēļām, mātes mikroshēmas numurs, kā arī tīmekļvietnes adrese, kurā iespējams pārliecināties par suņa reģistrāciju mājas (istabas) dzīvnieku reģistra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martā Saeimā iesniegts likumprojekts „Grozījumi Veterinārmedicīnas likumā” (Nr. 538/Lp14), kura 4. pants paredz kaķa vai mājas (istabas) seska īpašniekiem vai turētājam pienākumu nodrošināt, lai minētais dzīvnieks līdz četru mēnešu vecumam ir apzīmēts ar mikroshēmu. Ņemot vērā minēto, lūdzam projekta 12.6. apakšpunktu papildināt ar regulējumu, ka sludinājumā norādāms arī kaķa un seska mikroshēmas numurs (ja dzīvnieks ar mikroshēmu ir apzīmēts).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suņa, kaķa un mājas (istabas) seska mikroshēmas numurs, bet sunim, kaķim vai mājas (istabas) seskam, kas ir jaunāks par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un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minēto vecumu, – mātes mikroshēmas numurs, kā arī tīmekļvietnes adrese, kurā iespējams pārliecināties par reģistrāciju mājas (istabas) dzīvnieku reģistra datubāzē;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Ministru kabineta noteikumu Nr.617 "Tiesību akta projekta sākotnējās ietekmes izvērtēšanas kārtība" nosacījumu ievērošanu attiecībā uz sliekšņiem administratīvo izmaksu aprēķinu iekļaušanai anotācijā, kā arī ņemot vērā 2.1.sadaļā sniegto informāciju, ka nav iespējams noteikt fizisko un juridisko personu mērķa grupu lielumu, lūdzu šajā sadaļā iekļaut administratīvo izmaksu aprēķinu vienai fiziskai un vienai juridiskai personai, aprēķinā iekļaujot visas ar dokumentu sagatavošanu un apriti saistītās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Grūsnu mājas (istabas) dzīvnieku, suni, kaķi un mājas (istabas) sesku neatsavina specializētai tirdzniecības vietai saskaņā ar normatīvajiem aktiem par prasībām mājas (istabas) dzīvnieku specializētajām tirdzniecības vietām un to reģistrācijas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"Prasības mājas (istabas) dzīvnieku specializētajām tirdzniecības vietām un to reģistrācijas kārtība" (23-TA-3121) (turpmāk – noteikumu projekts 23-TA-3121) 26. punkts jau paredz, ka tirdzniecības vietā tirdzniecībai nepieņem grūsnu dzīvnieku, suni, kaķi un mājas (istabas) sesku, līdz ar to saskaņā ar Ministru kabineta 2009. gada 3. februāra noteikumu Nr. 108 "Normatīvo aktu projektu sagatavošanas noteikumi" 3.2. apakšpunktu, lūdzam no projekta svītrot 5. punktu, jo tas dublē noteikumu projekta 23-TA-3121 26.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Suni, kas ir apzīmēts un reģistrēts saskaņā ar normatīvajiem aktiem par mājas (istabas) dzīvnieku reģistrācijas kārtību, atsavina ne agrāk kā pēc astoņu nedēļu vecuma sasniegšanas, izņemot, ja to atsavina kopā ar māti. Ja suni atsavina kopā ar māti, tas var būt jaunāks par astoņām nedēļām.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punkta pēdējais teikums saturiski dublē minētajā normā iekļauto regulējumu un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norāde par to, ka mājas (istabas) dzīvnieks ir bezšķirnes, ja tam nav šķirnes mājas (istabas) dzīvnieku audzētāju organizācijas izsniegtu ciltsrakstu un nav pamata tos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("lolojumdzivnieki.lv" - 25.04.2024.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LDC datu bāzē, meklējot pēc norādītā mikročipa numura, potenciālajam pircējam jau būs publiski sistēmā redzama informācija - šķirnes vai bezšķirnes.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likumdevējs pieļauj gadījumus, kad informācija, ko manuāli sludinājumā norāda pārdevējs, un informācija LDC sistēmā var atšķirties? Piemēram, kļūdas dēļ vai apzināti. Kuru no šīm informācijām potenciālajam pircējam būtu jāuzskata par prioritāri pareizu?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tas atbilst valsts pārvaldes labas prakses standartam - uzlikt prasību sludinājumā manuāli norādīt informāciju, kura jau ir publicēta valsts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prioritāri sakārtot LDC datu bāzi, kurā ievadot informāciju - tiek ievadīti visi nepieciešamie dati, kurus varēs skatīt un pārbaudīt turpmākos dzīvnieka dzīves notikumos, ieskaitot, nākotnē paredzamo atsavināšanu. Tad sludinājumā nebūs jāuzliek atsevišķas prasības norādīt manuāli to, ko jau nodrošina valsts uzturētā datu bāze.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(turpmāk – likums) 18.</w:t>
            </w:r>
            <w:r w:rsidR="00000000" w:rsidRPr="00000000" w:rsidDel="00000000">
              <w:rPr>
                <w:vertAlign w:val="superscript"/>
                <w:rtl w:val="0"/>
              </w:rPr>
              <w:t xml:space="preserve">3</w:t>
            </w:r>
            <w:r w:rsidR="00000000" w:rsidRPr="00000000" w:rsidDel="00000000">
              <w:rPr>
                <w:rtl w:val="0"/>
              </w:rPr>
              <w:t xml:space="preserve"> panta pirmajā daļā ir noteikts, ka mājas (istabas) dzīvnieka īpašnieks, atsavinot dzīvnieku, tā nākamajam īpašniekam sniedz rakstveida informāciju par dzīvnieka vecumu, sugu un šķirni, izcelsmes valsti, veselības stāvokli, apzīmēšanu un reģistrāciju, uzvedības un turēšanas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18.</w:t>
            </w:r>
            <w:r w:rsidR="00000000" w:rsidRPr="00000000" w:rsidDel="00000000">
              <w:rPr>
                <w:vertAlign w:val="superscript"/>
                <w:rtl w:val="0"/>
              </w:rPr>
              <w:t xml:space="preserve">3</w:t>
            </w:r>
            <w:r w:rsidR="00000000" w:rsidRPr="00000000" w:rsidDel="00000000">
              <w:rPr>
                <w:rtl w:val="0"/>
              </w:rPr>
              <w:t xml:space="preserve"> panta otrā daļa nosaka, ka persona, kas piedāvā atsavināšanai suni, kaķi vai mājas (istabas) sesku, sludinājumā norāda informāciju atbilstoši normatīvajiem aktiem par mājas (istabas) dzīvnieka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likuma 18.</w:t>
            </w:r>
            <w:r w:rsidR="00000000" w:rsidRPr="00000000" w:rsidDel="00000000">
              <w:rPr>
                <w:vertAlign w:val="superscript"/>
                <w:rtl w:val="0"/>
              </w:rPr>
              <w:t xml:space="preserve">3</w:t>
            </w:r>
            <w:r w:rsidR="00000000" w:rsidRPr="00000000" w:rsidDel="00000000">
              <w:rPr>
                <w:rtl w:val="0"/>
              </w:rPr>
              <w:t xml:space="preserve"> panta trešās daļas 3. punktā ir noteikts, ka Ministru kabinets nosaka sludinājumā par suņa, kaķa vai mājas (istabas) seska piedāvāšanu atsavināšanai sniedzamo informāciju par dzīvnieka vecumu, šķirni, izcelsmes valsti, veselības stāvokli, apzīmēšanu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kas caurlūko sludinājumus, primāri pievērš uzmanību sludinājumā norādītajai informācijai, tajā skaitā dzīvnieka šķirnei, un tikai nepieciešamības gadījumā to salīdzina ar LDC datubāzē sniegto informāciju. Sludinājums un LDC datubāze ir dažādi informācijas avoti un katrs no tiem ir ar savu mērķi. Turklāt nav iespējams prognozēt, vai personas informāciju par dzīvnieku vispār meklēs LDC datubāzē vai citos avotos.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21. jūnija noteikumu Nr. 359 “Mājas (istabas) dzīvnieku reģistrācijas kārtība” 8.1.2. apakšpunktu, praktizējošs veterinārārsts datubāzē reģistrē ziņas par mājas (istabas) dzīvnieku, tajā skaitā dzīvnieka aprakstu (šķirni, krāsu, īpašas pazīmes). Informācijai par dzīvnieka šķirni datubāzē un sludinājumā norādītajai informācijai jābūt identiskai, jo abos gadījumos to sniedz dzīvnieka īpašnieks, un nav pamata uzskatīt, ka tā varētu atšķirties.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norāde par to, ka mājas (istabas) dzīvnieks ir bezšķirnes, ja tam nav šķirnes mājas (istabas) dzīvnieku audzētāju organizācijas izsniegtu ciltsrakstu un nav pamata tos saņemt;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suņa, kaķa un mājas (istabas) seska mikroshēmas numurs, bet sunim, kaķim vai mājas (istabas) seskam, kas ir jaunāks par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un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minēto vecumu, mātes mikroshēmas numurs, kā arī tīmekļvietnes adrese, kurā iespējams pārliecināties par reģistrāciju mājas (istabas) dzīvnieku reģistra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("lolojumdzivnieki.lv" - 25.04.2024.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oficiālajā vēstnesī publicētajā Eiropas Parlamenta regulas "Par suņu un kaķu labturību un izsekojamību" projektā nav paredzēta iespēja sludinājumā norādīt cita dzīvnieka mikročipa numuru. Katrs atsevišķais sludinājums jāveido par katru atsevišķo piedāvājamo dzīvnieku, norādot viņa konkrēto mikročipa numuru. Regula paredz arī kopējā Eiropas Savienības līmenī saslēgt kopā dalībvalstu datu bāzes un nodrošināt izsekojamību. Norādot cita dzīvnieka mikročipa numuru, var tikt apdraudēta sistēmu datu konsistence, kā arī tas maldina potenciālo pircēju, jo nenodrošina iespēju pārbaudīt konkrētā, sludinājumā piedāvātā dzīvnieka datus. Regulas anotācijā ir būtiski uzsvērta patērētāju tiesību aizsardzība un katra tirgū piedāvātā dzīvnieka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kad regula stāsies spēkā, būs jāmaina šie MK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Audzētāji, kas vēlas veidot agrīnās rezervācijas dzīvnieku metieniem, var izmantot citu sludinājumu sadaļu, piemēram, "Piedāvā pakalpojumu", "Dažādi", nevis ievietot dzīvnieku pārdošanas sadaļā dzīvniekus, kurus faktiski tajā brīdī nemaz nevar atsavināt vai kuri vispār vēl neeksistē.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projekts ir izstrādāts pamatojoties uz Dzīvnieku aizsardzības likuma 18.</w:t>
            </w:r>
            <w:r w:rsidR="00000000" w:rsidRPr="00000000" w:rsidDel="00000000">
              <w:rPr>
                <w:vertAlign w:val="superscript"/>
                <w:rtl w:val="0"/>
              </w:rPr>
              <w:t xml:space="preserve">3</w:t>
            </w:r>
            <w:r w:rsidR="00000000" w:rsidRPr="00000000" w:rsidDel="00000000">
              <w:rPr>
                <w:rtl w:val="0"/>
              </w:rPr>
              <w:t xml:space="preserve"> panta trešo daļu. Savukārt Eiropas Parlamenta un Padomes regula "Par suņu un kaķu labturību un izsekojamību" (turpmāk – regula) šobrīd ir izstrādes stadijā un pie tās notiek intensīvs darbs dalībvalstu darba grupās, kura rezultātā regulas redakcija tiek papildināta un precizēta. Jebkurā gadījumā, lai ieviestu regulu, būs nepieciešams pārskatīt un grozīt attiecīgo jomu regulējošos likumus un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suņa, kaķa un mājas (istabas) seska mikroshēmas numurs, bet sunim, kaķim vai mājas (istabas) seskam, kas ir jaunāks par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un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minēto vecumu, – mātes mikroshēmas numurs, kā arī tīmekļvietnes adrese, kurā iespējams pārliecināties par reģistrāciju mājas (istabas) dzīvnieku reģistra datubāzē;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mikroshēmas numurs, bet sunim, kaķim vai mājas (istabas) seskam, kas ir jaunāks par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un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minēto vecumu, mātes mikroshēmas numurs, kā arī tīmekļvietnes adrese, kurā iespējams pārliecināties par reģistrāciju mājas (istabas) dzīvnieku reģistra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8.4. apakšpunktu, paredzot, ka sludinājumā norāda suņa, kaķa vai mājas (istabas) seska mikroshēmas numuru. Vienlaikus lūdzam izstrādāt regulējumu attiecībā uz tiem dzīvniekiem, kaķiem un mājas (istabas) seskiem, kuriem nav mikroshēmas, jo grozījumi Veterinārmedicīnas likumā, ar kuriem kaķa un mājas (istabas) seska īpašniekam vai turētājam ir pienākums nodrošināt dzīvnieka apzīmēšanu ar mikroshēmu, stāsies spēkā 2024. gada 1. 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7.3.apakšpunkts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datums ir noteikts 2024. gada 1. jūlijs, tāpat kā likumam “Grozījumi Veterinārmedicīnas likumā”, ar kuru kaķa un mājas (istabas) seska īpašniekam vai turētājam ir pienākums nodrošināt dzīvnieka apzīmēšanu ar mikroshēmu.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Veterinārmedicīnas likumā doto pilnvarojumu Ministru kabinetam noteikt izņēmumus, kad kaķu un mājas (istabas) sesku apzīmēšana ar mikroshēmu un reģistrācija nav obligāta, šobrīd tiek izstrādāts noteikumu projekts “Grozījumi Ministru kabineta 2022. gada 21. jūnija noteikumos Nr. 359 "Mājas (istabas) dzīvnieku reģistrācijas kārtība" (24-TA-874). Informējam, ka minētajā noteikumu projektā nav paredzēts noteikt, ka kaķis un mājas (istabas) sesks, kas tiek atsavināts, netiktu apzīmēts ar mikroshēmu un reģistrēts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suņa, kaķa un mājas (istabas) seska mikroshēmas numurs, bet sunim, kaķim vai mājas (istabas) seskam, kas ir jaunāks par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un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minēto vecumu, – mātes mikroshēmas numurs, kā arī tīmekļvietnes adrese, kurā iespējams pārliecināties par reģistrāciju mājas (istabas) dzīvnieku reģistra datubāzē;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Mājas (istabas) sesku atsavina ne agrāk kā pēc astoņu nedēļu vecuma sasniegšanas, izņemot, ja to atsavina kopā ar māti.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juridiskās tehnikas prasības, lūdzam vienā normā ietvert to regulējumu, kas ir tematiski apvienojams, piemēram, regulējumu, kas attiecas uz kaķa, suņa un mājas (istabas) seska atsavināšanu, atkarībā no dzīvnieka vecuma, atsevišķi izdalot to regulējumu, kas attiecībā uz minētajiem dzīvniekiem ir atšķirīgs.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2006. gada 4. aprīļa noteikumi Nr. 266 "Labturības prasības mājas (istabas) dzīvnieku turēšanai, tirdzniecībai un demonstrēšanai publiskās izstādēs, kā arī suņa apmācībai" (turpmāk – Noteikumi Nr. 266)  zaudēs spēku, lūdzam papildināt projekta anotācijas 1.3. sadaļu "Pašreizējā situācija" ar informāciju, kādos normatīvajos aktos tiks iekļauts regulējums par veterinārās uzraudzības objektu reģistrācijas kārtību, kas bija iekļauts Noteikumos Nr. 266, piemēram, kur tiks paredzēta kārtība, kādā specializētās tirdzniecības vietas īpašnieks saņem atļauju tirdzniecībai ar mājas (istabas) dzīvniekiem  (Noteikumu Nr.266 31.punkts).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Noteikumi Nr. 266  zaudēs spēku līdz ar  Ministru kabineta noteikumu projekta "Prasības mājas (istabas) dzīvnieku specializētajām tirdzniecības vietām un to reģistrācijas kārtība" (TAP Nr. 23-TA-3121) spēkā stāšanos.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atbilstību Eiropas Savienības tiesību aktiem attiecībā uz dalībvalsts rīcības brīvību, tās izmantošanu/ neizmantošanu, ievērojot,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no projekta 2.2. apakšpunkta izriet pienākums mājas (istabas) dzīvnieku atsavināt un nodot nākamajam īpašniekam kopā ar veterināro (veselības) sertifikātu, ja mājas (istabas) dzīvnieks Latvijā ir ievests no citas Eiropas Savienības dalībvalsts un ir tādas kategorijas sauszemes dzīvnieki vai ūdensdzīvnieki, kas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Komisijas 2021. gada 24. marta </w:t>
            </w:r>
            <w:r w:rsidR="00000000" w:rsidRPr="00000000" w:rsidDel="00000000">
              <w:rPr>
                <w:u w:val="single"/>
                <w:rtl w:val="0"/>
              </w:rPr>
              <w:t xml:space="preserve">Īstenošanas regulas (ES) 2021/403</w:t>
            </w:r>
            <w:r w:rsidR="00000000" w:rsidRPr="00000000" w:rsidDel="00000000">
              <w:rPr>
                <w:rtl w:val="0"/>
              </w:rPr>
              <w:t xml:space="preserve">, ar ko attiecībā uz tādu veterināro un veterināro/oficiālo sertifikātu paraugiem, kuri paredzēti noteiktu kategoriju sauszemes dzīvnieku un to reproduktīvo produktu sūtījumu ievešanai Savienībā un pārvietošanai starp dalībvalstīm, un šādu sertifikātu sakarā veicamo oficiālo sertificēšanu nosaka noteikumus Eiropas Parlamenta un Padomes Regulas (ES) 2016/429 un (ES) 2017/625 piemērošanai un atceļ Lēmumu 2010/470/ES, </w:t>
            </w:r>
            <w:r w:rsidR="00000000" w:rsidRPr="00000000" w:rsidDel="00000000">
              <w:rPr>
                <w:u w:val="single"/>
                <w:rtl w:val="0"/>
              </w:rPr>
              <w:t xml:space="preserve">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Komisijas 2020. gada 16. decembra </w:t>
            </w:r>
            <w:r w:rsidR="00000000" w:rsidRPr="00000000" w:rsidDel="00000000">
              <w:rPr>
                <w:u w:val="single"/>
                <w:rtl w:val="0"/>
              </w:rPr>
              <w:t xml:space="preserve">Īstenošanas regulas (ES) 2020/2236</w:t>
            </w:r>
            <w:r w:rsidR="00000000" w:rsidRPr="00000000" w:rsidDel="00000000">
              <w:rPr>
                <w:rtl w:val="0"/>
              </w:rPr>
              <w:t xml:space="preserve">, ar ko attiecībā uz tādu veterināro sertifikātu paraugiem, kuri paredzēti ūdensdzīvnieku un noteiktu no tiem iegūtu dzīvnieku izcelsmes produktu sūtījumu ievešanai Savienībā un pārvietošanai pa to, un šādu sertifikātu sakarā veicamo oficiālo sertificēšanu nosaka noteikumus Eiropas Parlamenta un Padomes Regulas (ES) 2016/429 un (ES) 2017/625 piemērošanai un atceļ Regulu (EK) Nr. 1251/2008 (turpmāk - Regula 2020/2236), </w:t>
            </w:r>
            <w:r w:rsidR="00000000" w:rsidRPr="00000000" w:rsidDel="00000000">
              <w:rPr>
                <w:u w:val="single"/>
                <w:rtl w:val="0"/>
              </w:rPr>
              <w:t xml:space="preserve">1. pielikuma pirmajā vai ceturtajā rindā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gadījumā, ja sākotnējā veterinārajā sertifikātā ir konstatētas administratīvas kļūdas vai tas ir sabojāts vai nozaudēts, pamatojoties uz abu iepriekš minēto Eiropas Savienības tiesību aktu 5. pantiem izriet noteikumi attiecībā uz aizstājējsertifikātu izdošanu un rīcības brīvība dalībvalstīm (to kompetentajai iestādei), ievedot sūtījumus Eiropas Savienībā paredzēt tiesības robežkontroles punkta kompetentajai iestādei, kura atbilstoši abu tiesību aktu 5. panta 4. punktiem "</w:t>
            </w:r>
            <w:r w:rsidR="00000000" w:rsidRPr="00000000" w:rsidDel="00000000">
              <w:rPr>
                <w:i w:val="1"/>
                <w:u w:val="single"/>
                <w:rtl w:val="0"/>
              </w:rPr>
              <w:t xml:space="preserve">var atturēties pieprasīt par sūtījumu atbildīgajam operatoram uzrādīt veterināro aizstājējsertifikātu</w:t>
            </w:r>
            <w:r w:rsidR="00000000" w:rsidRPr="00000000" w:rsidDel="00000000">
              <w:rPr>
                <w:i w:val="1"/>
                <w:rtl w:val="0"/>
              </w:rPr>
              <w:t xml:space="preserve">, ja informācija par saņēmēju, importētāju, ievešanas Savienībā robežkontroles punktu vai transportlīdzekli mainās pēc sertifikāta izdošanas un par sūtījumu atbildīgais operators sniedz šo jauno informāciju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vai tā anotācijā nav ietverti noteikumi, skaidrojumi attiecībā uz aizstājējsertifikātiem vai tiesībām atturēties pieprasīt to uzrādīšanu.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anotāciju ievērojot, ka, ja tiesību akts paredz rīcības brīvību dalībvalstij pārņemt vai ieviest noteiktas Eiropas Savienības tiesību akta normas, anotācijas 5.4. apakšsadaļas 1. tabulas ailē, kas attiecas uz rīcības brīvību, norāda konkrētu tiesību akta normu un pamato, kādēļ ir vai nav izmantota tiesību aktā paredzētā rīcības brīvība dalībvalstij pārņemt vai ieviest noteiktas tiesību akta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projekta 2.2. apakšpunktu. Atbilstoši projekta 2.2. apakšpunktam </w:t>
            </w:r>
            <w:r w:rsidR="00000000" w:rsidRPr="00000000" w:rsidDel="00000000">
              <w:rPr>
                <w:i w:val="1"/>
                <w:rtl w:val="0"/>
              </w:rPr>
              <w:t xml:space="preserve">mājas (istabas) dzīvnieku atsavina un nodod tā nākamajam īpašniekam kopā ar veterināro (veselības) sertifikātu. Gadījumā, ja mājas (istabas) dzīvnieks Latvijā ir ievests no citas Eiropas Savienības dalībvalsts un ir tādas kategorijas sauszemes dzīvnieks, kas iekļauts</w:t>
            </w:r>
            <w:r w:rsidR="00000000" w:rsidRPr="00000000" w:rsidDel="00000000">
              <w:rPr>
                <w:rtl w:val="0"/>
              </w:rPr>
              <w:t xml:space="preserve"> Regulas 2020/2236 </w:t>
            </w:r>
            <w:r w:rsidR="00000000" w:rsidRPr="00000000" w:rsidDel="00000000">
              <w:rPr>
                <w:u w:val="single"/>
                <w:rtl w:val="0"/>
              </w:rPr>
              <w:t xml:space="preserve">1. pielikuma 1. un 4. rindā</w:t>
            </w:r>
            <w:r w:rsidR="00000000" w:rsidRPr="00000000" w:rsidDel="00000000">
              <w:rPr>
                <w:rtl w:val="0"/>
              </w:rPr>
              <w:t xml:space="preserve">. Vienlaikus vēršam uzmanību uz to, ka no Regulas 2020/2236 1. pielikuma 1. un 4. rindas izriet tikai informācija par sertifikātu, bet sertifikātu paraugs ietverts 1. pielikuma `1. un 4. nodaļā, kura ieviešama līdz ar Regulas 2020/2236 1. pielikuma 1. un 4. rindu. Attiecīgi, nepieciešamības gadījumā, iesakām: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projekta 2.2. apakšpunkta atsauci uz Regulas 2020/2236 1. pielikuma 1. un 4. rindu ar norādi arī uz šī pielikuma 1. un 4.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anotācijas 5.4. apakšsadaļas 1. tabulas Regulas 2020/2236 1. pielikuma 1. un 4. rindas aili ar norādi arī uz šī pielikuma 1. un 4.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anotācijas 5.1. apakšsadaļas skaidrojumu "[..] kura paraugs dots regulas 2020/2236 1. pielikuma pirmajā vai ceturtajā rindā.", ņemot vērā, ka paraugi sniegti šī pielikuma 1. un 4.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noteikumu projekta anotācijas 6.3.punktā norādītajā informācijā. Pirmkārt, vārda "atzinums" vietā lietojams vārds "viedoklis" vai "priekšlikums". Skaidrojam, ka atbilstoši Ministru kabineta 2009.gada 25.augusta noteikumiem Nr.970 "Sabiedrības līdzdalības kārtība attīstības plānošanas procesā" nošķirams projekta izstrādes process un saskaņošanas process, attiecīgi izstrādes laikā sabiedrības pārstāvjiem ir iespēja sniegt viedokli vai priekšlikumus, savukārt saskaņošanas procesā ieinteresētās puses var sniegt atzinumu. Otrkārt, Valsts kanceleja iepazīstoties ar publiskās apspriešanas laikā saņemtajiem priekšlikumiem TAP publiskajā vidē (https://tapportals.mk.gov.lv/public_participation/b142a05d-fb54-4c3a-88fd-0c6930ebe7d7) konstatēja, ka nodibinājums "dzivniekupolicija.lv" sniedzis priekšlikumu vairāku organizāciju vārdā, attiecīgi tas arī būtu atspoguļojams 6.3.punktā.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"Mājas (istabas) dzīvnieka atsavināšanas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(LVB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 (turpmāk-LVB) ir iepazinusies ar TAP portālā pieejamo MK noteikumu projektu Nr. 23-TA-1261 "Prasības mājas (istabas) dzīvnieka atsavināšanai un sludinājumam" un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LVB lūdzu noteikumos skaidri definēt, kas ir uzskatāms par sludinājumu.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jābūt skaidri definētam, ka prasībām par sludinājumā norādāmo informāciju būtu jāattiecas gan uz specializētos portālos (piemēram, www.ss.com) izvietotiem sludinājumiem, gan dažādos citos portālos, piemēram, www.andelemandele.lv, gan visa veida laikrakstos, sociālajos tīklos (Facebook, Instagram u.c.) izvietotiem sludinājumiem. Lai gan populārākā vieta, kur tiek izvietoti sludinājumi par dzīvnieku atsavināšanu, ir sludinājumu portāls www.ss.com, ļoti daudz sludinājumi tiek publicēti dažādās speciāli tam veidotās Facebook grupās, neskatoties uz to, ka Facebook politika aizliedz dzīvnieku tirdzniecību. Tāpat, piemēram, www.andelemandele.lv ir atsevišķa sadaļa dzīvnieku tirdzniecībai, kurā cita starpā tiek tirgoti arī kucēni un kaķēni.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šīm un arī citām interneta vietnēm ir jāattiecina MK noteikumu prasības, lai varētu īstenot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LVB rosina papildināt 2.5. punktu pēc vārda "ārstēšanu" ar tekstu "ja tāda nepieciešama vai uzsākta"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praktizējoša veterinārārsta rakstveida norādījumiem par atsavināmā suņa vai kaķa ārstēšanu, ja tāda nepieciešama vai  uzsākta, barošanu un aprūpi, ja patversme atsavina suni, kas patversmē nonācis bez mātes un nav sasniedzis astoņu nedēļu vecumu, vai kaķi, kas patversmē nonācis bez mātes un nav sasniedzis 12 nedēļu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3. punktu - LVB ieskatā jābūt atrunātām prasībām, ja tiek atsavināts suns, kas atzīts par bīstamu. Šīm prasībām būtu jāattiecas uz šāda suņa īpašnieku, gan patversmi.</w:t>
            </w:r>
            <w:r w:rsidR="00000000" w:rsidRPr="00000000" w:rsidDel="00000000">
              <w:rPr>
                <w:b w:val="1"/>
                <w:rtl w:val="0"/>
              </w:rPr>
              <w:t xml:space="preserve">4) Par 7.2.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būtu jāpapildina ar prasību norādīt numuru PVD uzraudzības objektu reģistrā, ja tāds ir piešķirts, un apstiprinājumu, ka saskaņā ar Dzīvnieku aizsardzības likuma 18.2 pantu pavairošanas fakts reģistrēts LDC.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LVB vērš uzmanību, ka saskaņā ar tās rīcībā esošo informāciju, ciltsrakstu ciltsdarba organizācija neizsniedz suņiem 8 nedēļu vecumā. Ciltsraksti tiek izsniegti jau uz jaunā īpašnieka vārda. Attiecīgi arī kucēniem, kas ir vecāki par noteikumu 3.4. un 3.5. apakšpunktā minēto vecumu, vēl var nebūt ciltsrakstu numura. Aicinām šajā jautājumā konsultēties ar ciltsdarba organizācijām, tomēr nodrošinot, ka noteikumi neparedz izvietot sludinājumus par kucēniem ,kas vecāki par noteikumu 3.4. un 3.5. apakšpunktā minēto vecumu, balstoties uz mātes reģistrācijas faktu LDC, bet par noteikumu 3.4. un 3.5. apakšpunktā minēto vecumu, balstoties uz mātes reģistrācijas faktu LDC, bet par šo vecumu sasniegušajiem dzīvniekim sludinājumos jābūt pieejamai informācijai par katra kucēna individuālu mikroshēmas reģistrāciju LDC.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LVB ieskatā 8. punkts būtu jāpapildina ar noteikumu, ka tad, kad dzīvnieki sasniedz 3.4. un 3.5. apakšpunktā noteikto vecumu vai kad ir izsniegti cilstraksti, sludinājumam ir jau jāatbilst visiem nosacījumiem un attiecīgi ir jāievieto atbilstošs sludinājums.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aktu portāla (TAP) lietošanai ir izstrādāta noteikta kārtība, tajā skaitā iebildumu/priekšlikumu iesniegšanas kārtība. Iebildumi vai priekšlikumi jāiesniedz atbilstošajā sadaļā un pie konkrēta noteikumu projekta vai anotācijas punkta, uz kuru tas attiecas. Turpmāk lūdzam ievērot iepriekš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sekojošu skaidrojumu uz sniegtajiem priekšlikumiem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sludinājums ir publisks paziņojums rakstveidā vai mutvārdos (parasti par kāda darījuma piedāvājumu, arī par kādu sadzīves faktu) (no skaidrojošās vārdnīcas “Tezaurs” https://tezaurs.lv/sludin%C4%81jums). Savukārt Dzīvnieku aizsardzības likuma 18.3 panta otrajā daļā ir noteikts, ka  persona, kas piedāvā atsavināšanai suni, kaķi vai mājas (istabas) sesku, sludinājumā norāda informāciju atbilstoši normatīvajiem aktiem par mājas (istabas) dzīvnieka atsavināšanu. Ņemot vērā iepriekš minēto jebkurš piedāvājums atsavināt suni, kaķi vai mājas (istabas) sesku, ir uzskatāms par sludinājumu, neatkarīgi no tā, kādā tīmekļvietnē, preses izdevumā, sludinājumu dēlī u.c.  tas ir ievietots.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noteikumu projekta 2.4.2. apakšpunktā jau ir noteikts, ka mājas (istabas) dzīvnieku atsavina un nodod tā nākamajam īpašniekam kopā ar praktizējoša veterinārārsta izsniegtu izziņu par mājas (istabas) dzīvnieka veselības stāvokli un ārstēšanu, ja tāda nepieciešama, patversmei atsavinot mājas (istabas) dzīvnieku, kas nav klīniski vesels. Minētais 2.4.2. apakšpunkts attiecas arī uz suni, kas patversmē nonācis bez mātes un nav sasniedzis astoņu nedēļu vecumu, vai kaķi, kas patversmē nonācis bez mātes un nav sasniedzis 12 nedēļu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Dzīvnieku aizsardzības likuma 18.3 panta trešajā daļā ir dots pilnvarojums Ministru kabinetam noteikt prasības attiecībā uz mājas (istabas) dzīvnieku  minimālo vecumu, kādā to var atsavināt un prasības attiecībā uz atsavināmā mājas (istabas) dzīvnieka fizioloģiju un veselības stāvokli. Savukārt nav noteikts pilnvarojums attiecībā uz īpašām jeb atsevišķām prasībām bīstama suņa atsavināšanai. Vēršam uzmanību ka prasības attiecībā uz bīstama suņa atsavināšanu ir noteiktas Ministru kabineta 2012. gada 19. jūnija noteikumu “ Kārtība, kādā suni atzīst par bīstamu, un prasības bīstama suņa turēšanai” 33. punktā. Līdz ar to Ministru kabinets nevar noteikt kādas atšķirīgas prasības bīstama suņa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 Dzīvnieku aizsardzības likuma 18.3 panta trešajā daļā ir dots pilnvarojums Ministru kabinetam noteikt prasības sludinājumā par suņa, kaķa vai mājas (istabas) seska piedāvāšanu atsavināšanai sniedzamo informāciju par dzīvnieka vecumu, šķirni, izcelsmes valsti, veselības stāvokli, apzīmēšanu un reģistrāciju. Iepriekš minētais pilnvarojums neparedz noteikt sludinājumā informāciju par pavairošanas fakta reģistrācijas apstiprinājumu.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2019. gada 8. janvāra noteikumu Nr. 10 "Šķirnes mājas (istabas) dzīvnieku audzētāju organizācijas reģistrēšanas un atzīšanas kārtība, kā arī šķirnes mājas (istabas) dzīvnieku ciltsgrāmatas kārtošanas, ciltsrakstu izsniegšanas un audzēšanas programmas apstiprināšanas kārtība" 25. punktu, sunim un mājas (istabas) seskam ciltsrakstus izsniedz no astoņu nedēļu vecuma, bet kaķim – no 10 nedēļu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7.4. apakšpunktā noteikts, ka sludinājumā norāda suņa, kaķa un mājas (istabas) seska mikroshēmas numuru. Iepriekš minētā prasība attiecas uz visiem dzīvniekiem, kas sasnieguši 3.4. un 3.5. apakšpunktā minēto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visa 7. punktā noteiktā sludinājumā sniedzamā informācija attiecas uz visiem suņiem, kaķiem un mājas (istabas) seskiem, kas sasnieguši attiecīgi 3.4. un 3.5. apakšpunktā noteikto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"Mājas (istabas) dzīvnieka atsavināšanas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23-TA-1261</w:t>
    </w:r>
    <w:r>
      <w:br/>
    </w:r>
    <w:r w:rsidR="00000000" w:rsidRPr="00000000" w:rsidDel="00000000">
      <w:rPr>
        <w:rtl w:val="0"/>
      </w:rPr>
      <w:t xml:space="preserve">07.05.2024. 14.58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23-TA-1261</w:t>
    </w:r>
    <w:r>
      <w:br/>
    </w:r>
    <w:r w:rsidR="00000000" w:rsidRPr="00000000" w:rsidDel="00000000">
      <w:rPr>
        <w:rtl w:val="0"/>
      </w:rPr>
      <w:t xml:space="preserve">07.05.2024. 14.58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Izziņa_23-TA-1261.docx</dc:title>
</cp:coreProperties>
</file>

<file path=docProps/custom.xml><?xml version="1.0" encoding="utf-8"?>
<Properties xmlns="http://schemas.openxmlformats.org/officeDocument/2006/custom-properties" xmlns:vt="http://schemas.openxmlformats.org/officeDocument/2006/docPropsVTypes"/>
</file>