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45B41" w14:textId="77777777" w:rsidR="00C932D2" w:rsidRDefault="00DB07F3" w:rsidP="00205275">
      <w:pPr>
        <w:jc w:val="center"/>
        <w:rPr>
          <w:rFonts w:eastAsia="Times New Roman"/>
          <w:b/>
          <w:sz w:val="24"/>
          <w:szCs w:val="24"/>
          <w:lang w:eastAsia="lv-LV"/>
        </w:rPr>
      </w:pPr>
      <w:r>
        <w:rPr>
          <w:rFonts w:eastAsia="Times New Roman"/>
          <w:b/>
          <w:sz w:val="24"/>
          <w:szCs w:val="24"/>
          <w:lang w:eastAsia="lv-LV"/>
        </w:rPr>
        <w:tab/>
      </w:r>
    </w:p>
    <w:p w14:paraId="26CDAD63" w14:textId="77777777" w:rsidR="00BD52D8" w:rsidRPr="003D697F" w:rsidRDefault="00BD52D8" w:rsidP="00205275">
      <w:pPr>
        <w:jc w:val="center"/>
        <w:rPr>
          <w:rFonts w:eastAsia="Times New Roman"/>
          <w:b/>
          <w:sz w:val="24"/>
          <w:szCs w:val="24"/>
          <w:lang w:eastAsia="lv-LV"/>
        </w:rPr>
      </w:pPr>
      <w:bookmarkStart w:id="0" w:name="_Hlk80600828"/>
      <w:r w:rsidRPr="003D697F">
        <w:rPr>
          <w:rFonts w:eastAsia="Times New Roman"/>
          <w:b/>
          <w:sz w:val="24"/>
          <w:szCs w:val="24"/>
          <w:lang w:eastAsia="lv-LV"/>
        </w:rPr>
        <w:t>Izziņa par atzinumos sniegtajiem iebildumiem</w:t>
      </w:r>
    </w:p>
    <w:tbl>
      <w:tblPr>
        <w:tblW w:w="0" w:type="auto"/>
        <w:jc w:val="center"/>
        <w:tblCellSpacing w:w="0" w:type="dxa"/>
        <w:tblCellMar>
          <w:left w:w="0" w:type="dxa"/>
          <w:right w:w="0" w:type="dxa"/>
        </w:tblCellMar>
        <w:tblLook w:val="04A0" w:firstRow="1" w:lastRow="0" w:firstColumn="1" w:lastColumn="0" w:noHBand="0" w:noVBand="1"/>
      </w:tblPr>
      <w:tblGrid>
        <w:gridCol w:w="10185"/>
      </w:tblGrid>
      <w:tr w:rsidR="00BD52D8" w:rsidRPr="003D697F" w14:paraId="0C0E4B92" w14:textId="77777777" w:rsidTr="00BD52D8">
        <w:trPr>
          <w:tblCellSpacing w:w="0" w:type="dxa"/>
          <w:jc w:val="center"/>
        </w:trPr>
        <w:tc>
          <w:tcPr>
            <w:tcW w:w="10185" w:type="dxa"/>
            <w:tcBorders>
              <w:top w:val="nil"/>
              <w:left w:val="nil"/>
              <w:bottom w:val="single" w:sz="8" w:space="0" w:color="000000"/>
              <w:right w:val="nil"/>
            </w:tcBorders>
            <w:hideMark/>
          </w:tcPr>
          <w:p w14:paraId="3B8165E3" w14:textId="77777777" w:rsidR="00654639" w:rsidRPr="003D697F" w:rsidRDefault="00F61DDD" w:rsidP="00205275">
            <w:pPr>
              <w:pStyle w:val="Title"/>
            </w:pPr>
            <w:r w:rsidRPr="003D697F">
              <w:t>Likum</w:t>
            </w:r>
            <w:r w:rsidR="00654639" w:rsidRPr="003D697F">
              <w:t>projekt</w:t>
            </w:r>
            <w:r w:rsidR="00392E06" w:rsidRPr="003D697F">
              <w:t>s</w:t>
            </w:r>
          </w:p>
          <w:p w14:paraId="6E2E94C5" w14:textId="77777777" w:rsidR="00BD52D8" w:rsidRPr="003D697F" w:rsidRDefault="001C5161" w:rsidP="00692C1E">
            <w:pPr>
              <w:pStyle w:val="BodyText"/>
              <w:spacing w:after="0"/>
              <w:jc w:val="center"/>
              <w:rPr>
                <w:lang w:eastAsia="lv-LV"/>
              </w:rPr>
            </w:pPr>
            <w:r w:rsidRPr="003D697F">
              <w:rPr>
                <w:rFonts w:eastAsia="Calibri"/>
                <w:b/>
                <w:bCs/>
                <w:lang w:eastAsia="x-none"/>
              </w:rPr>
              <w:t xml:space="preserve"> “Uzņēmumu ienākuma nodokļa likums”</w:t>
            </w:r>
          </w:p>
        </w:tc>
      </w:tr>
    </w:tbl>
    <w:bookmarkEnd w:id="0"/>
    <w:p w14:paraId="1B75D936" w14:textId="77777777" w:rsidR="00BD52D8" w:rsidRPr="003D697F" w:rsidRDefault="00BD52D8" w:rsidP="00AE17F1">
      <w:pPr>
        <w:spacing w:before="100" w:beforeAutospacing="1" w:after="100" w:afterAutospacing="1"/>
        <w:jc w:val="center"/>
        <w:rPr>
          <w:rFonts w:eastAsia="Times New Roman"/>
          <w:b/>
          <w:sz w:val="24"/>
          <w:szCs w:val="24"/>
          <w:lang w:eastAsia="lv-LV"/>
        </w:rPr>
      </w:pPr>
      <w:r w:rsidRPr="003D697F">
        <w:rPr>
          <w:rFonts w:eastAsia="Times New Roman"/>
          <w:b/>
          <w:sz w:val="24"/>
          <w:szCs w:val="24"/>
          <w:lang w:eastAsia="lv-LV"/>
        </w:rPr>
        <w:t>I. Jautājumi, par kuriem saskaņošanā vienošanās nav panākta</w:t>
      </w:r>
    </w:p>
    <w:tbl>
      <w:tblPr>
        <w:tblW w:w="147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6"/>
        <w:gridCol w:w="2676"/>
        <w:gridCol w:w="2784"/>
        <w:gridCol w:w="2693"/>
        <w:gridCol w:w="3261"/>
        <w:gridCol w:w="2676"/>
      </w:tblGrid>
      <w:tr w:rsidR="00720E8D" w:rsidRPr="003D697F" w14:paraId="63FB75B1" w14:textId="77777777" w:rsidTr="00163E5F">
        <w:tc>
          <w:tcPr>
            <w:tcW w:w="636" w:type="dxa"/>
            <w:vAlign w:val="center"/>
          </w:tcPr>
          <w:p w14:paraId="131AB6CD" w14:textId="77777777" w:rsidR="00BD52D8" w:rsidRPr="003D697F" w:rsidRDefault="00156BC2" w:rsidP="00AE17F1">
            <w:pPr>
              <w:pStyle w:val="naisc"/>
              <w:jc w:val="both"/>
            </w:pPr>
            <w:r w:rsidRPr="003D697F">
              <w:t> Nr.</w:t>
            </w:r>
            <w:r w:rsidRPr="003D697F">
              <w:br/>
              <w:t> p.k.</w:t>
            </w:r>
          </w:p>
        </w:tc>
        <w:tc>
          <w:tcPr>
            <w:tcW w:w="2676" w:type="dxa"/>
            <w:vAlign w:val="center"/>
          </w:tcPr>
          <w:p w14:paraId="02E38335" w14:textId="77777777" w:rsidR="00BD52D8" w:rsidRPr="003D697F" w:rsidRDefault="00156BC2" w:rsidP="00AE17F1">
            <w:pPr>
              <w:spacing w:before="100" w:beforeAutospacing="1" w:after="100" w:afterAutospacing="1"/>
              <w:jc w:val="both"/>
              <w:rPr>
                <w:rFonts w:eastAsia="Times New Roman"/>
                <w:sz w:val="24"/>
                <w:szCs w:val="24"/>
                <w:lang w:eastAsia="lv-LV"/>
              </w:rPr>
            </w:pPr>
            <w:r w:rsidRPr="003D697F">
              <w:rPr>
                <w:rFonts w:eastAsia="Times New Roman"/>
                <w:sz w:val="24"/>
                <w:szCs w:val="24"/>
                <w:lang w:eastAsia="lv-LV"/>
              </w:rPr>
              <w:t>Saskaņošanai nosūtītā projekta redakcija (konkrēta punkta (panta) redakcija)</w:t>
            </w:r>
          </w:p>
        </w:tc>
        <w:tc>
          <w:tcPr>
            <w:tcW w:w="2784" w:type="dxa"/>
            <w:vAlign w:val="center"/>
          </w:tcPr>
          <w:p w14:paraId="6D2D4C96" w14:textId="77777777" w:rsidR="00BD52D8" w:rsidRPr="003D697F" w:rsidRDefault="00156BC2" w:rsidP="00AE17F1">
            <w:pPr>
              <w:spacing w:before="100" w:beforeAutospacing="1" w:after="100" w:afterAutospacing="1"/>
              <w:jc w:val="both"/>
              <w:rPr>
                <w:rFonts w:eastAsia="Times New Roman"/>
                <w:sz w:val="24"/>
                <w:szCs w:val="24"/>
                <w:lang w:eastAsia="lv-LV"/>
              </w:rPr>
            </w:pPr>
            <w:r w:rsidRPr="003D697F">
              <w:rPr>
                <w:rFonts w:eastAsia="Times New Roman"/>
                <w:sz w:val="24"/>
                <w:szCs w:val="24"/>
                <w:lang w:eastAsia="lv-LV"/>
              </w:rPr>
              <w:t>Atzinumā norādītais ministrijas (citas institūcijas) iebildums, kā arī saskaņošanā papildus izteiktais iebildums par projekta konkrēto punktu (pantu)</w:t>
            </w:r>
          </w:p>
        </w:tc>
        <w:tc>
          <w:tcPr>
            <w:tcW w:w="2693" w:type="dxa"/>
            <w:vAlign w:val="center"/>
          </w:tcPr>
          <w:p w14:paraId="7DE00982" w14:textId="77777777" w:rsidR="00BD52D8" w:rsidRPr="003D697F" w:rsidRDefault="00156BC2" w:rsidP="00AE17F1">
            <w:pPr>
              <w:spacing w:before="100" w:beforeAutospacing="1" w:after="100" w:afterAutospacing="1"/>
              <w:jc w:val="both"/>
              <w:rPr>
                <w:rFonts w:eastAsia="Times New Roman"/>
                <w:sz w:val="24"/>
                <w:szCs w:val="24"/>
                <w:lang w:eastAsia="lv-LV"/>
              </w:rPr>
            </w:pPr>
            <w:r w:rsidRPr="003D697F">
              <w:rPr>
                <w:rFonts w:eastAsia="Times New Roman"/>
                <w:sz w:val="24"/>
                <w:szCs w:val="24"/>
                <w:lang w:eastAsia="lv-LV"/>
              </w:rPr>
              <w:t>Atbildīgās ministrijas pamatojums iebilduma noraidījumam</w:t>
            </w:r>
          </w:p>
        </w:tc>
        <w:tc>
          <w:tcPr>
            <w:tcW w:w="3261" w:type="dxa"/>
            <w:vAlign w:val="center"/>
          </w:tcPr>
          <w:p w14:paraId="16D9AA1A" w14:textId="77777777" w:rsidR="00BD52D8" w:rsidRPr="003D697F" w:rsidRDefault="00156BC2" w:rsidP="00AE17F1">
            <w:pPr>
              <w:spacing w:before="100" w:beforeAutospacing="1" w:after="100" w:afterAutospacing="1"/>
              <w:jc w:val="both"/>
              <w:rPr>
                <w:rFonts w:eastAsia="Times New Roman"/>
                <w:sz w:val="24"/>
                <w:szCs w:val="24"/>
                <w:lang w:eastAsia="lv-LV"/>
              </w:rPr>
            </w:pPr>
            <w:r w:rsidRPr="003D697F">
              <w:rPr>
                <w:rFonts w:eastAsia="Times New Roman"/>
                <w:sz w:val="24"/>
                <w:szCs w:val="24"/>
                <w:lang w:eastAsia="lv-LV"/>
              </w:rPr>
              <w:t>Atzinuma sniedzēja uzturētais iebildums, ja tas atšķiras no atzinumā norādītā iebilduma pamatojuma</w:t>
            </w:r>
          </w:p>
        </w:tc>
        <w:tc>
          <w:tcPr>
            <w:tcW w:w="2676" w:type="dxa"/>
            <w:vAlign w:val="center"/>
          </w:tcPr>
          <w:p w14:paraId="375F743F" w14:textId="77777777" w:rsidR="00BD52D8" w:rsidRPr="003D697F" w:rsidRDefault="00156BC2" w:rsidP="00AE17F1">
            <w:pPr>
              <w:spacing w:before="100" w:beforeAutospacing="1" w:after="100" w:afterAutospacing="1"/>
              <w:jc w:val="both"/>
              <w:rPr>
                <w:rFonts w:eastAsia="Times New Roman"/>
                <w:sz w:val="24"/>
                <w:szCs w:val="24"/>
                <w:lang w:eastAsia="lv-LV"/>
              </w:rPr>
            </w:pPr>
            <w:r w:rsidRPr="003D697F">
              <w:rPr>
                <w:rFonts w:eastAsia="Times New Roman"/>
                <w:sz w:val="24"/>
                <w:szCs w:val="24"/>
                <w:lang w:eastAsia="lv-LV"/>
              </w:rPr>
              <w:t>Projekta attiecīgā punkta (panta) galīgā redakcija</w:t>
            </w:r>
          </w:p>
        </w:tc>
      </w:tr>
      <w:tr w:rsidR="00720E8D" w:rsidRPr="003D697F" w14:paraId="10705A63" w14:textId="77777777" w:rsidTr="007E012E">
        <w:tc>
          <w:tcPr>
            <w:tcW w:w="636" w:type="dxa"/>
          </w:tcPr>
          <w:p w14:paraId="40DEFB37" w14:textId="77777777" w:rsidR="00BD52D8" w:rsidRPr="003D697F" w:rsidRDefault="00156BC2"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1</w:t>
            </w:r>
          </w:p>
        </w:tc>
        <w:tc>
          <w:tcPr>
            <w:tcW w:w="2676" w:type="dxa"/>
            <w:tcBorders>
              <w:bottom w:val="single" w:sz="4" w:space="0" w:color="000000"/>
            </w:tcBorders>
          </w:tcPr>
          <w:p w14:paraId="455846BF" w14:textId="77777777" w:rsidR="00BD52D8" w:rsidRPr="003D697F" w:rsidRDefault="00156BC2"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2</w:t>
            </w:r>
          </w:p>
        </w:tc>
        <w:tc>
          <w:tcPr>
            <w:tcW w:w="2784" w:type="dxa"/>
          </w:tcPr>
          <w:p w14:paraId="669ED817" w14:textId="77777777" w:rsidR="00BD52D8" w:rsidRPr="003D697F" w:rsidRDefault="00156BC2"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3</w:t>
            </w:r>
          </w:p>
        </w:tc>
        <w:tc>
          <w:tcPr>
            <w:tcW w:w="2693" w:type="dxa"/>
          </w:tcPr>
          <w:p w14:paraId="76D4C7DD" w14:textId="77777777" w:rsidR="00BD52D8" w:rsidRPr="003D697F" w:rsidRDefault="00156BC2"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4</w:t>
            </w:r>
          </w:p>
        </w:tc>
        <w:tc>
          <w:tcPr>
            <w:tcW w:w="3261" w:type="dxa"/>
          </w:tcPr>
          <w:p w14:paraId="5C045D7F" w14:textId="77777777" w:rsidR="00BD52D8" w:rsidRPr="003D697F" w:rsidRDefault="00156BC2"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5</w:t>
            </w:r>
          </w:p>
        </w:tc>
        <w:tc>
          <w:tcPr>
            <w:tcW w:w="2676" w:type="dxa"/>
          </w:tcPr>
          <w:p w14:paraId="2E83C6DA" w14:textId="77777777" w:rsidR="00BD52D8" w:rsidRPr="003D697F" w:rsidRDefault="00156BC2"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6</w:t>
            </w:r>
          </w:p>
        </w:tc>
      </w:tr>
      <w:tr w:rsidR="008C4D36" w:rsidRPr="003D697F" w14:paraId="66BD369A" w14:textId="77777777" w:rsidTr="00797003">
        <w:tc>
          <w:tcPr>
            <w:tcW w:w="636" w:type="dxa"/>
          </w:tcPr>
          <w:p w14:paraId="41483C7D" w14:textId="77777777" w:rsidR="008C4D36" w:rsidRPr="003D697F" w:rsidRDefault="008C4D36" w:rsidP="008C4D36">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1.</w:t>
            </w:r>
          </w:p>
        </w:tc>
        <w:tc>
          <w:tcPr>
            <w:tcW w:w="2676" w:type="dxa"/>
          </w:tcPr>
          <w:p w14:paraId="0B456DEA" w14:textId="77777777" w:rsidR="008C4D36" w:rsidRPr="003D697F" w:rsidRDefault="008C4D36" w:rsidP="008C4D36">
            <w:pPr>
              <w:pStyle w:val="naiskr"/>
              <w:spacing w:before="120" w:beforeAutospacing="0" w:after="120" w:afterAutospacing="0"/>
              <w:jc w:val="both"/>
              <w:rPr>
                <w:i/>
              </w:rPr>
            </w:pPr>
          </w:p>
        </w:tc>
        <w:tc>
          <w:tcPr>
            <w:tcW w:w="2784" w:type="dxa"/>
          </w:tcPr>
          <w:p w14:paraId="01967012" w14:textId="77777777" w:rsidR="008C4D36" w:rsidRPr="003D697F" w:rsidRDefault="008C4D36" w:rsidP="008C4D36">
            <w:pPr>
              <w:jc w:val="both"/>
              <w:rPr>
                <w:rFonts w:eastAsia="Times New Roman"/>
                <w:sz w:val="24"/>
                <w:szCs w:val="24"/>
                <w:lang w:eastAsia="lv-LV"/>
              </w:rPr>
            </w:pPr>
          </w:p>
        </w:tc>
        <w:tc>
          <w:tcPr>
            <w:tcW w:w="2693" w:type="dxa"/>
          </w:tcPr>
          <w:p w14:paraId="03560FA6" w14:textId="77777777" w:rsidR="008C4D36" w:rsidRPr="004327FB" w:rsidRDefault="008C4D36" w:rsidP="008C4D36">
            <w:pPr>
              <w:jc w:val="both"/>
              <w:rPr>
                <w:rFonts w:eastAsia="Times New Roman"/>
                <w:sz w:val="24"/>
                <w:szCs w:val="24"/>
                <w:lang w:eastAsia="lv-LV"/>
              </w:rPr>
            </w:pPr>
          </w:p>
        </w:tc>
        <w:tc>
          <w:tcPr>
            <w:tcW w:w="3261" w:type="dxa"/>
          </w:tcPr>
          <w:p w14:paraId="17A3141F" w14:textId="77777777" w:rsidR="008C4D36" w:rsidRPr="003D697F" w:rsidRDefault="008C4D36" w:rsidP="008C4D36">
            <w:pPr>
              <w:spacing w:before="100" w:beforeAutospacing="1" w:after="100" w:afterAutospacing="1"/>
              <w:jc w:val="both"/>
              <w:rPr>
                <w:rFonts w:eastAsia="Times New Roman"/>
                <w:sz w:val="24"/>
                <w:szCs w:val="24"/>
                <w:lang w:eastAsia="lv-LV"/>
              </w:rPr>
            </w:pPr>
          </w:p>
        </w:tc>
        <w:tc>
          <w:tcPr>
            <w:tcW w:w="2676" w:type="dxa"/>
          </w:tcPr>
          <w:p w14:paraId="6647ACCE" w14:textId="77777777" w:rsidR="008C4D36" w:rsidRPr="003D697F" w:rsidRDefault="008C4D36" w:rsidP="008C4D36">
            <w:pPr>
              <w:pStyle w:val="naiskr"/>
              <w:spacing w:before="0" w:beforeAutospacing="0" w:after="0" w:afterAutospacing="0"/>
              <w:jc w:val="both"/>
              <w:rPr>
                <w:i/>
              </w:rPr>
            </w:pPr>
          </w:p>
        </w:tc>
      </w:tr>
    </w:tbl>
    <w:p w14:paraId="03E4A736" w14:textId="77777777" w:rsidR="00D92E1F" w:rsidRPr="003D697F" w:rsidRDefault="00D92E1F" w:rsidP="00AE17F1">
      <w:pPr>
        <w:spacing w:before="100" w:beforeAutospacing="1" w:after="100" w:afterAutospacing="1"/>
        <w:jc w:val="both"/>
        <w:rPr>
          <w:rFonts w:eastAsia="Times New Roman"/>
          <w:b/>
          <w:bCs/>
          <w:sz w:val="24"/>
          <w:szCs w:val="24"/>
          <w:lang w:eastAsia="lv-LV"/>
        </w:rPr>
      </w:pPr>
      <w:r w:rsidRPr="003D697F">
        <w:rPr>
          <w:rFonts w:eastAsia="Times New Roman"/>
          <w:b/>
          <w:bCs/>
          <w:sz w:val="24"/>
          <w:szCs w:val="24"/>
          <w:lang w:eastAsia="lv-LV"/>
        </w:rPr>
        <w:t xml:space="preserve">Informācija par </w:t>
      </w:r>
      <w:r w:rsidR="005545CE" w:rsidRPr="003D697F">
        <w:rPr>
          <w:rFonts w:eastAsia="Times New Roman"/>
          <w:b/>
          <w:bCs/>
          <w:sz w:val="24"/>
          <w:szCs w:val="24"/>
          <w:lang w:eastAsia="lv-LV"/>
        </w:rPr>
        <w:t>starpministriju sanāksmi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8865"/>
      </w:tblGrid>
      <w:tr w:rsidR="00B63EEF" w:rsidRPr="003D697F" w14:paraId="71BF15B8" w14:textId="77777777" w:rsidTr="00D072FA">
        <w:tc>
          <w:tcPr>
            <w:tcW w:w="5637" w:type="dxa"/>
            <w:tcBorders>
              <w:top w:val="nil"/>
              <w:left w:val="nil"/>
              <w:bottom w:val="nil"/>
              <w:right w:val="nil"/>
            </w:tcBorders>
            <w:shd w:val="clear" w:color="auto" w:fill="auto"/>
          </w:tcPr>
          <w:p w14:paraId="75EF805B" w14:textId="77777777" w:rsidR="00B63EEF" w:rsidRPr="003D697F" w:rsidRDefault="00B63EEF" w:rsidP="00D072FA">
            <w:pPr>
              <w:spacing w:before="100" w:beforeAutospacing="1" w:after="100" w:afterAutospacing="1"/>
              <w:jc w:val="both"/>
              <w:rPr>
                <w:rFonts w:eastAsia="Times New Roman"/>
                <w:b/>
                <w:bCs/>
                <w:sz w:val="24"/>
                <w:szCs w:val="24"/>
                <w:lang w:eastAsia="lv-LV"/>
              </w:rPr>
            </w:pPr>
            <w:r w:rsidRPr="003D697F">
              <w:rPr>
                <w:rFonts w:eastAsia="Times New Roman"/>
                <w:sz w:val="24"/>
                <w:szCs w:val="24"/>
                <w:lang w:eastAsia="lv-LV"/>
              </w:rPr>
              <w:t>Datums</w:t>
            </w:r>
          </w:p>
        </w:tc>
        <w:tc>
          <w:tcPr>
            <w:tcW w:w="8865" w:type="dxa"/>
            <w:tcBorders>
              <w:top w:val="nil"/>
              <w:left w:val="nil"/>
              <w:right w:val="nil"/>
            </w:tcBorders>
            <w:shd w:val="clear" w:color="auto" w:fill="auto"/>
          </w:tcPr>
          <w:p w14:paraId="001C16AD" w14:textId="77777777" w:rsidR="00B63EEF" w:rsidRPr="00E95442" w:rsidRDefault="00B63EEF" w:rsidP="00904734">
            <w:pPr>
              <w:spacing w:before="100" w:beforeAutospacing="1" w:after="100" w:afterAutospacing="1"/>
              <w:jc w:val="both"/>
              <w:rPr>
                <w:rFonts w:eastAsia="Times New Roman"/>
                <w:b/>
                <w:bCs/>
                <w:sz w:val="24"/>
                <w:szCs w:val="24"/>
                <w:lang w:eastAsia="lv-LV"/>
              </w:rPr>
            </w:pPr>
          </w:p>
          <w:p w14:paraId="509EA8D0" w14:textId="77777777" w:rsidR="00C409A1" w:rsidRPr="00E95442" w:rsidRDefault="00CE2D1D" w:rsidP="00904734">
            <w:pPr>
              <w:spacing w:before="100" w:beforeAutospacing="1" w:after="100" w:afterAutospacing="1"/>
              <w:jc w:val="both"/>
              <w:rPr>
                <w:rFonts w:eastAsia="Times New Roman"/>
                <w:b/>
                <w:bCs/>
                <w:sz w:val="24"/>
                <w:szCs w:val="24"/>
                <w:lang w:eastAsia="lv-LV"/>
              </w:rPr>
            </w:pPr>
            <w:r w:rsidRPr="00E95442">
              <w:rPr>
                <w:rFonts w:eastAsia="Times New Roman"/>
                <w:b/>
                <w:bCs/>
                <w:sz w:val="24"/>
                <w:szCs w:val="24"/>
                <w:lang w:eastAsia="lv-LV"/>
              </w:rPr>
              <w:t>13.07.2021.</w:t>
            </w:r>
          </w:p>
        </w:tc>
      </w:tr>
      <w:tr w:rsidR="00B63EEF" w:rsidRPr="003D697F" w14:paraId="542F07FF" w14:textId="77777777" w:rsidTr="00D072FA">
        <w:tc>
          <w:tcPr>
            <w:tcW w:w="5637" w:type="dxa"/>
            <w:tcBorders>
              <w:top w:val="nil"/>
              <w:left w:val="nil"/>
              <w:bottom w:val="nil"/>
              <w:right w:val="nil"/>
            </w:tcBorders>
            <w:shd w:val="clear" w:color="auto" w:fill="auto"/>
          </w:tcPr>
          <w:p w14:paraId="4AB11A1F" w14:textId="77777777" w:rsidR="00B63EEF" w:rsidRPr="003D697F" w:rsidRDefault="00B63EEF" w:rsidP="00D072FA">
            <w:pPr>
              <w:spacing w:before="100" w:beforeAutospacing="1" w:after="100" w:afterAutospacing="1"/>
              <w:jc w:val="both"/>
              <w:rPr>
                <w:rFonts w:eastAsia="Times New Roman"/>
                <w:b/>
                <w:bCs/>
                <w:sz w:val="24"/>
                <w:szCs w:val="24"/>
                <w:lang w:eastAsia="lv-LV"/>
              </w:rPr>
            </w:pPr>
            <w:r w:rsidRPr="003D697F">
              <w:rPr>
                <w:rFonts w:eastAsia="Times New Roman"/>
                <w:sz w:val="24"/>
                <w:szCs w:val="24"/>
                <w:lang w:eastAsia="lv-LV"/>
              </w:rPr>
              <w:t>Saskaņošanas dalībnieki</w:t>
            </w:r>
          </w:p>
        </w:tc>
        <w:tc>
          <w:tcPr>
            <w:tcW w:w="8865" w:type="dxa"/>
            <w:tcBorders>
              <w:left w:val="nil"/>
              <w:right w:val="nil"/>
            </w:tcBorders>
            <w:shd w:val="clear" w:color="auto" w:fill="auto"/>
          </w:tcPr>
          <w:p w14:paraId="0743EEDB" w14:textId="77777777" w:rsidR="00B63EEF" w:rsidRPr="003D697F" w:rsidRDefault="00B63EEF" w:rsidP="001C5161">
            <w:pPr>
              <w:jc w:val="both"/>
              <w:rPr>
                <w:rFonts w:eastAsia="Times New Roman"/>
                <w:bCs/>
                <w:sz w:val="24"/>
                <w:szCs w:val="24"/>
                <w:lang w:eastAsia="lv-LV"/>
              </w:rPr>
            </w:pPr>
          </w:p>
        </w:tc>
      </w:tr>
      <w:tr w:rsidR="00B63EEF" w:rsidRPr="003D697F" w14:paraId="3E345DDB" w14:textId="77777777" w:rsidTr="00D072FA">
        <w:tc>
          <w:tcPr>
            <w:tcW w:w="5637" w:type="dxa"/>
            <w:tcBorders>
              <w:top w:val="nil"/>
              <w:left w:val="nil"/>
              <w:bottom w:val="nil"/>
              <w:right w:val="nil"/>
            </w:tcBorders>
            <w:shd w:val="clear" w:color="auto" w:fill="auto"/>
          </w:tcPr>
          <w:p w14:paraId="2B52A392" w14:textId="77777777" w:rsidR="00B63EEF" w:rsidRPr="003D697F" w:rsidRDefault="00B63EEF" w:rsidP="00D072FA">
            <w:pPr>
              <w:spacing w:before="100" w:beforeAutospacing="1" w:after="100" w:afterAutospacing="1"/>
              <w:jc w:val="both"/>
              <w:rPr>
                <w:rFonts w:eastAsia="Times New Roman"/>
                <w:b/>
                <w:bCs/>
                <w:sz w:val="24"/>
                <w:szCs w:val="24"/>
                <w:lang w:eastAsia="lv-LV"/>
              </w:rPr>
            </w:pPr>
            <w:r w:rsidRPr="003D697F">
              <w:rPr>
                <w:rFonts w:eastAsia="Times New Roman"/>
                <w:sz w:val="24"/>
                <w:szCs w:val="24"/>
                <w:lang w:eastAsia="lv-LV"/>
              </w:rPr>
              <w:t>Saskaņošanas sanāksmes dalībnieki izskatīja šādu ministriju (citu institūciju) iebildumus</w:t>
            </w:r>
          </w:p>
        </w:tc>
        <w:tc>
          <w:tcPr>
            <w:tcW w:w="8865" w:type="dxa"/>
            <w:tcBorders>
              <w:left w:val="nil"/>
              <w:right w:val="nil"/>
            </w:tcBorders>
            <w:shd w:val="clear" w:color="auto" w:fill="auto"/>
            <w:vAlign w:val="bottom"/>
          </w:tcPr>
          <w:p w14:paraId="1C59DB07" w14:textId="77777777" w:rsidR="00B63EEF" w:rsidRPr="003D697F" w:rsidRDefault="004D3B93" w:rsidP="00C25C48">
            <w:pPr>
              <w:spacing w:before="100" w:beforeAutospacing="1" w:after="100" w:afterAutospacing="1"/>
              <w:ind w:left="175"/>
              <w:rPr>
                <w:rFonts w:eastAsia="Times New Roman"/>
                <w:b/>
                <w:bCs/>
                <w:sz w:val="24"/>
                <w:szCs w:val="24"/>
                <w:lang w:eastAsia="lv-LV"/>
              </w:rPr>
            </w:pPr>
            <w:r>
              <w:rPr>
                <w:rFonts w:eastAsia="Times New Roman"/>
                <w:b/>
                <w:bCs/>
                <w:sz w:val="24"/>
                <w:szCs w:val="24"/>
                <w:lang w:eastAsia="lv-LV"/>
              </w:rPr>
              <w:t>Tieslietu ministrija</w:t>
            </w:r>
            <w:r w:rsidR="00AD6C26">
              <w:rPr>
                <w:rFonts w:eastAsia="Times New Roman"/>
                <w:b/>
                <w:bCs/>
                <w:sz w:val="24"/>
                <w:szCs w:val="24"/>
                <w:lang w:eastAsia="lv-LV"/>
              </w:rPr>
              <w:t>,  Biedrība “Tirdzniecības un rūpniecības kamera”</w:t>
            </w:r>
          </w:p>
        </w:tc>
      </w:tr>
      <w:tr w:rsidR="00B63EEF" w:rsidRPr="003D697F" w14:paraId="5513B6EB" w14:textId="77777777" w:rsidTr="00D072FA">
        <w:tc>
          <w:tcPr>
            <w:tcW w:w="5637" w:type="dxa"/>
            <w:tcBorders>
              <w:top w:val="nil"/>
              <w:left w:val="nil"/>
              <w:bottom w:val="nil"/>
              <w:right w:val="nil"/>
            </w:tcBorders>
            <w:shd w:val="clear" w:color="auto" w:fill="auto"/>
          </w:tcPr>
          <w:p w14:paraId="7A016AE1" w14:textId="77777777" w:rsidR="00B63EEF" w:rsidRPr="003D697F" w:rsidRDefault="00B63EEF" w:rsidP="00D072FA">
            <w:pPr>
              <w:spacing w:before="100" w:beforeAutospacing="1" w:after="100" w:afterAutospacing="1"/>
              <w:jc w:val="both"/>
              <w:rPr>
                <w:rFonts w:eastAsia="Times New Roman"/>
                <w:b/>
                <w:bCs/>
                <w:sz w:val="24"/>
                <w:szCs w:val="24"/>
                <w:lang w:eastAsia="lv-LV"/>
              </w:rPr>
            </w:pPr>
            <w:r w:rsidRPr="003D697F">
              <w:rPr>
                <w:rFonts w:eastAsia="Times New Roman"/>
                <w:sz w:val="24"/>
                <w:szCs w:val="24"/>
                <w:lang w:eastAsia="lv-LV"/>
              </w:rPr>
              <w:t>Ministrijas (citas institūcijas), kuras nav ieradušās uz sanāksmi vai kuras nav atbildējušas uz uzaicinājumu piedalīties elektroniskajā saskaņošanā</w:t>
            </w:r>
          </w:p>
        </w:tc>
        <w:tc>
          <w:tcPr>
            <w:tcW w:w="8865" w:type="dxa"/>
            <w:tcBorders>
              <w:left w:val="nil"/>
              <w:right w:val="nil"/>
            </w:tcBorders>
            <w:shd w:val="clear" w:color="auto" w:fill="auto"/>
            <w:vAlign w:val="bottom"/>
          </w:tcPr>
          <w:p w14:paraId="236E2F27" w14:textId="77777777" w:rsidR="00B63EEF" w:rsidRPr="003D697F" w:rsidRDefault="00B63EEF" w:rsidP="00D53E53">
            <w:pPr>
              <w:spacing w:before="100" w:beforeAutospacing="1" w:after="100" w:afterAutospacing="1"/>
              <w:ind w:left="175"/>
              <w:rPr>
                <w:rFonts w:eastAsia="Times New Roman"/>
                <w:b/>
                <w:bCs/>
                <w:sz w:val="24"/>
                <w:szCs w:val="24"/>
                <w:lang w:eastAsia="lv-LV"/>
              </w:rPr>
            </w:pPr>
          </w:p>
        </w:tc>
      </w:tr>
    </w:tbl>
    <w:p w14:paraId="705D47B6" w14:textId="77777777" w:rsidR="00BD52D8" w:rsidRPr="003D697F" w:rsidRDefault="00BD52D8" w:rsidP="00AE17F1">
      <w:pPr>
        <w:jc w:val="both"/>
        <w:rPr>
          <w:rFonts w:eastAsia="Times New Roman"/>
          <w:sz w:val="24"/>
          <w:szCs w:val="24"/>
          <w:lang w:eastAsia="lv-LV"/>
        </w:rPr>
      </w:pPr>
    </w:p>
    <w:p w14:paraId="4594F200" w14:textId="77777777" w:rsidR="009F41C2" w:rsidRPr="003D697F" w:rsidRDefault="009F41C2" w:rsidP="00AE17F1">
      <w:pPr>
        <w:jc w:val="both"/>
        <w:rPr>
          <w:rFonts w:eastAsia="Times New Roman"/>
          <w:sz w:val="24"/>
          <w:szCs w:val="24"/>
          <w:lang w:eastAsia="lv-LV"/>
        </w:rPr>
      </w:pPr>
    </w:p>
    <w:p w14:paraId="7E14BE97" w14:textId="77777777" w:rsidR="009F41C2" w:rsidRDefault="009F41C2" w:rsidP="00AE17F1">
      <w:pPr>
        <w:jc w:val="both"/>
        <w:rPr>
          <w:rFonts w:eastAsia="Times New Roman"/>
          <w:sz w:val="24"/>
          <w:szCs w:val="24"/>
          <w:lang w:eastAsia="lv-LV"/>
        </w:rPr>
      </w:pPr>
    </w:p>
    <w:p w14:paraId="7CE0A9D4" w14:textId="77777777" w:rsidR="00F40594" w:rsidRDefault="00F40594" w:rsidP="00AE17F1">
      <w:pPr>
        <w:jc w:val="both"/>
        <w:rPr>
          <w:rFonts w:eastAsia="Times New Roman"/>
          <w:sz w:val="24"/>
          <w:szCs w:val="24"/>
          <w:lang w:eastAsia="lv-LV"/>
        </w:rPr>
      </w:pPr>
    </w:p>
    <w:p w14:paraId="51E01756" w14:textId="77777777" w:rsidR="00F40594" w:rsidRDefault="00F40594" w:rsidP="00AE17F1">
      <w:pPr>
        <w:jc w:val="both"/>
        <w:rPr>
          <w:rFonts w:eastAsia="Times New Roman"/>
          <w:sz w:val="24"/>
          <w:szCs w:val="24"/>
          <w:lang w:eastAsia="lv-LV"/>
        </w:rPr>
      </w:pPr>
    </w:p>
    <w:p w14:paraId="1CEC18AF" w14:textId="77777777" w:rsidR="00F40594" w:rsidRPr="003D697F" w:rsidRDefault="00F40594" w:rsidP="00AE17F1">
      <w:pPr>
        <w:jc w:val="both"/>
        <w:rPr>
          <w:rFonts w:eastAsia="Times New Roman"/>
          <w:sz w:val="24"/>
          <w:szCs w:val="24"/>
          <w:lang w:eastAsia="lv-LV"/>
        </w:rPr>
      </w:pPr>
    </w:p>
    <w:p w14:paraId="287BAE45" w14:textId="77777777" w:rsidR="009F41C2" w:rsidRPr="003D697F" w:rsidRDefault="009F41C2" w:rsidP="00AE17F1">
      <w:pPr>
        <w:jc w:val="both"/>
        <w:rPr>
          <w:rFonts w:eastAsia="Times New Roman"/>
          <w:sz w:val="24"/>
          <w:szCs w:val="24"/>
          <w:lang w:eastAsia="lv-LV"/>
        </w:rPr>
      </w:pPr>
    </w:p>
    <w:p w14:paraId="2BD9457D" w14:textId="77777777" w:rsidR="009F41C2" w:rsidRPr="003D697F" w:rsidRDefault="009F41C2" w:rsidP="009F41C2">
      <w:pPr>
        <w:jc w:val="center"/>
        <w:rPr>
          <w:rFonts w:eastAsia="Times New Roman"/>
          <w:vanish/>
          <w:sz w:val="24"/>
          <w:szCs w:val="24"/>
          <w:lang w:eastAsia="lv-LV"/>
        </w:rPr>
      </w:pPr>
    </w:p>
    <w:p w14:paraId="494B9DA2" w14:textId="77777777" w:rsidR="00BD52D8" w:rsidRPr="003D697F" w:rsidRDefault="00BD52D8" w:rsidP="009F41C2">
      <w:pPr>
        <w:spacing w:before="100" w:beforeAutospacing="1" w:after="100" w:afterAutospacing="1"/>
        <w:jc w:val="center"/>
        <w:rPr>
          <w:rFonts w:eastAsia="Times New Roman"/>
          <w:b/>
          <w:sz w:val="24"/>
          <w:szCs w:val="24"/>
          <w:lang w:eastAsia="lv-LV"/>
        </w:rPr>
      </w:pPr>
      <w:r w:rsidRPr="003D697F">
        <w:rPr>
          <w:rFonts w:eastAsia="Times New Roman"/>
          <w:b/>
          <w:sz w:val="24"/>
          <w:szCs w:val="24"/>
          <w:lang w:eastAsia="lv-LV"/>
        </w:rPr>
        <w:t>II. Jautājumi, par kuriem saskaņošanā vienošanās ir panākta</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544"/>
        <w:gridCol w:w="3827"/>
        <w:gridCol w:w="3686"/>
        <w:gridCol w:w="3402"/>
      </w:tblGrid>
      <w:tr w:rsidR="00666B05" w:rsidRPr="003D697F" w14:paraId="5516FD07" w14:textId="77777777" w:rsidTr="00655E25">
        <w:tc>
          <w:tcPr>
            <w:tcW w:w="675" w:type="dxa"/>
            <w:vAlign w:val="center"/>
          </w:tcPr>
          <w:p w14:paraId="74EB25CB" w14:textId="77777777" w:rsidR="00C760E0" w:rsidRPr="003D697F" w:rsidRDefault="00C760E0" w:rsidP="00AE17F1">
            <w:pPr>
              <w:pStyle w:val="naisc"/>
              <w:jc w:val="both"/>
            </w:pPr>
            <w:r w:rsidRPr="003D697F">
              <w:t> Nr.</w:t>
            </w:r>
            <w:r w:rsidRPr="003D697F">
              <w:br/>
              <w:t> p.k.</w:t>
            </w:r>
          </w:p>
        </w:tc>
        <w:tc>
          <w:tcPr>
            <w:tcW w:w="3544" w:type="dxa"/>
            <w:vAlign w:val="center"/>
          </w:tcPr>
          <w:p w14:paraId="7C15C3B2" w14:textId="77777777" w:rsidR="00C760E0" w:rsidRPr="003D697F" w:rsidRDefault="00C760E0" w:rsidP="009F4E93">
            <w:pPr>
              <w:spacing w:before="100" w:beforeAutospacing="1" w:after="100" w:afterAutospacing="1"/>
              <w:rPr>
                <w:rFonts w:eastAsia="Times New Roman"/>
                <w:sz w:val="24"/>
                <w:szCs w:val="24"/>
                <w:lang w:eastAsia="lv-LV"/>
              </w:rPr>
            </w:pPr>
            <w:r w:rsidRPr="003D697F">
              <w:rPr>
                <w:rFonts w:eastAsia="Times New Roman"/>
                <w:sz w:val="24"/>
                <w:szCs w:val="24"/>
                <w:lang w:eastAsia="lv-LV"/>
              </w:rPr>
              <w:t>Saskaņošanai nosūtītā projekta redakcija (konkrēta punkta (panta) redakcija)</w:t>
            </w:r>
          </w:p>
        </w:tc>
        <w:tc>
          <w:tcPr>
            <w:tcW w:w="3827" w:type="dxa"/>
            <w:vAlign w:val="center"/>
          </w:tcPr>
          <w:p w14:paraId="6A0173AE" w14:textId="77777777" w:rsidR="00C760E0" w:rsidRPr="003D697F" w:rsidRDefault="00C760E0" w:rsidP="009F4E93">
            <w:pPr>
              <w:spacing w:before="100" w:beforeAutospacing="1" w:after="100" w:afterAutospacing="1"/>
              <w:rPr>
                <w:rFonts w:eastAsia="Times New Roman"/>
                <w:sz w:val="24"/>
                <w:szCs w:val="24"/>
                <w:lang w:eastAsia="lv-LV"/>
              </w:rPr>
            </w:pPr>
            <w:r w:rsidRPr="003D697F">
              <w:rPr>
                <w:rFonts w:eastAsia="Times New Roman"/>
                <w:sz w:val="24"/>
                <w:szCs w:val="24"/>
                <w:lang w:eastAsia="lv-LV"/>
              </w:rPr>
              <w:t>Atzinumā norādītais ministrijas (citas institūcijas) iebildums, kā arī saskaņošanā papildus izteiktais iebildums par projekta konkrēto punktu (pantu)</w:t>
            </w:r>
          </w:p>
        </w:tc>
        <w:tc>
          <w:tcPr>
            <w:tcW w:w="3686" w:type="dxa"/>
            <w:vAlign w:val="center"/>
          </w:tcPr>
          <w:p w14:paraId="54BFC954" w14:textId="77777777" w:rsidR="00C760E0" w:rsidRPr="003D697F" w:rsidRDefault="00C760E0" w:rsidP="009F4E93">
            <w:pPr>
              <w:spacing w:before="100" w:beforeAutospacing="1" w:after="100" w:afterAutospacing="1"/>
              <w:rPr>
                <w:rFonts w:eastAsia="Times New Roman"/>
                <w:sz w:val="24"/>
                <w:szCs w:val="24"/>
                <w:lang w:eastAsia="lv-LV"/>
              </w:rPr>
            </w:pPr>
            <w:r w:rsidRPr="003D697F">
              <w:rPr>
                <w:rFonts w:eastAsia="Times New Roman"/>
                <w:sz w:val="24"/>
                <w:szCs w:val="24"/>
                <w:lang w:eastAsia="lv-LV"/>
              </w:rPr>
              <w:t>Atbildīgās ministrijas norāde par to, ka iebildums ir ņemts vērā, vai informācija par saskaņošanā panākto alternatīvo risinājumu</w:t>
            </w:r>
          </w:p>
        </w:tc>
        <w:tc>
          <w:tcPr>
            <w:tcW w:w="3402" w:type="dxa"/>
            <w:vAlign w:val="center"/>
          </w:tcPr>
          <w:p w14:paraId="5C9B83AA" w14:textId="77777777" w:rsidR="00C760E0" w:rsidRPr="003D697F" w:rsidRDefault="00C760E0" w:rsidP="009F4E93">
            <w:pPr>
              <w:spacing w:before="100" w:beforeAutospacing="1" w:after="100" w:afterAutospacing="1"/>
              <w:rPr>
                <w:rFonts w:eastAsia="Times New Roman"/>
                <w:sz w:val="24"/>
                <w:szCs w:val="24"/>
                <w:lang w:eastAsia="lv-LV"/>
              </w:rPr>
            </w:pPr>
            <w:r w:rsidRPr="003D697F">
              <w:rPr>
                <w:rFonts w:eastAsia="Times New Roman"/>
                <w:sz w:val="24"/>
                <w:szCs w:val="24"/>
                <w:lang w:eastAsia="lv-LV"/>
              </w:rPr>
              <w:t>Projekta attiecīgā punkta (panta) galīgā redakcija</w:t>
            </w:r>
          </w:p>
        </w:tc>
      </w:tr>
      <w:tr w:rsidR="00666B05" w:rsidRPr="003D697F" w14:paraId="30663763" w14:textId="77777777" w:rsidTr="00655E25">
        <w:tc>
          <w:tcPr>
            <w:tcW w:w="675" w:type="dxa"/>
          </w:tcPr>
          <w:p w14:paraId="6DF5E170" w14:textId="77777777" w:rsidR="00C760E0" w:rsidRPr="003D697F" w:rsidRDefault="00C760E0"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1</w:t>
            </w:r>
          </w:p>
        </w:tc>
        <w:tc>
          <w:tcPr>
            <w:tcW w:w="3544" w:type="dxa"/>
          </w:tcPr>
          <w:p w14:paraId="0CD6751C" w14:textId="77777777" w:rsidR="00C760E0" w:rsidRPr="003D697F" w:rsidRDefault="00C760E0"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2</w:t>
            </w:r>
          </w:p>
        </w:tc>
        <w:tc>
          <w:tcPr>
            <w:tcW w:w="3827" w:type="dxa"/>
          </w:tcPr>
          <w:p w14:paraId="1A576A8C" w14:textId="77777777" w:rsidR="00C760E0" w:rsidRPr="003D697F" w:rsidRDefault="00C760E0"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3</w:t>
            </w:r>
          </w:p>
        </w:tc>
        <w:tc>
          <w:tcPr>
            <w:tcW w:w="3686" w:type="dxa"/>
          </w:tcPr>
          <w:p w14:paraId="269F3941" w14:textId="77777777" w:rsidR="00C760E0" w:rsidRPr="003D697F" w:rsidRDefault="00C760E0"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4</w:t>
            </w:r>
          </w:p>
        </w:tc>
        <w:tc>
          <w:tcPr>
            <w:tcW w:w="3402" w:type="dxa"/>
          </w:tcPr>
          <w:p w14:paraId="45643586" w14:textId="77777777" w:rsidR="00C760E0" w:rsidRPr="003D697F" w:rsidRDefault="00C760E0" w:rsidP="00B37A2A">
            <w:pPr>
              <w:spacing w:before="100" w:beforeAutospacing="1" w:after="100" w:afterAutospacing="1"/>
              <w:jc w:val="center"/>
              <w:rPr>
                <w:rFonts w:eastAsia="Times New Roman"/>
                <w:sz w:val="24"/>
                <w:szCs w:val="24"/>
                <w:lang w:eastAsia="lv-LV"/>
              </w:rPr>
            </w:pPr>
            <w:r w:rsidRPr="003D697F">
              <w:rPr>
                <w:rFonts w:eastAsia="Times New Roman"/>
                <w:sz w:val="24"/>
                <w:szCs w:val="24"/>
                <w:lang w:eastAsia="lv-LV"/>
              </w:rPr>
              <w:t>5</w:t>
            </w:r>
          </w:p>
        </w:tc>
      </w:tr>
      <w:tr w:rsidR="00F62F40" w:rsidRPr="003D697F" w14:paraId="47C11EEA" w14:textId="77777777" w:rsidTr="00655E25">
        <w:tc>
          <w:tcPr>
            <w:tcW w:w="675" w:type="dxa"/>
          </w:tcPr>
          <w:p w14:paraId="5C67A568" w14:textId="77777777" w:rsidR="00F62F40" w:rsidRDefault="00F62F40" w:rsidP="00F62F40">
            <w:pPr>
              <w:spacing w:before="100" w:beforeAutospacing="1" w:after="100" w:afterAutospacing="1"/>
              <w:jc w:val="center"/>
              <w:rPr>
                <w:rFonts w:eastAsia="Times New Roman"/>
                <w:sz w:val="24"/>
                <w:szCs w:val="24"/>
                <w:lang w:eastAsia="lv-LV"/>
              </w:rPr>
            </w:pPr>
            <w:r>
              <w:rPr>
                <w:rFonts w:eastAsia="Times New Roman"/>
                <w:sz w:val="24"/>
                <w:szCs w:val="24"/>
                <w:lang w:eastAsia="lv-LV"/>
              </w:rPr>
              <w:t xml:space="preserve">1. </w:t>
            </w:r>
          </w:p>
        </w:tc>
        <w:tc>
          <w:tcPr>
            <w:tcW w:w="3544" w:type="dxa"/>
          </w:tcPr>
          <w:p w14:paraId="0F417BD3" w14:textId="77777777" w:rsidR="00F62F40" w:rsidRDefault="00F62F40" w:rsidP="00F62F40">
            <w:pPr>
              <w:contextualSpacing/>
              <w:jc w:val="both"/>
              <w:rPr>
                <w:sz w:val="24"/>
                <w:szCs w:val="24"/>
              </w:rPr>
            </w:pPr>
            <w:r w:rsidRPr="00B821EA">
              <w:rPr>
                <w:sz w:val="24"/>
                <w:szCs w:val="24"/>
              </w:rPr>
              <w:t>Likuma 9. pant</w:t>
            </w:r>
            <w:r>
              <w:rPr>
                <w:sz w:val="24"/>
                <w:szCs w:val="24"/>
              </w:rPr>
              <w:t xml:space="preserve">a </w:t>
            </w:r>
            <w:r w:rsidRPr="00B821EA">
              <w:rPr>
                <w:sz w:val="24"/>
                <w:szCs w:val="24"/>
              </w:rPr>
              <w:t>pirm</w:t>
            </w:r>
            <w:r>
              <w:rPr>
                <w:sz w:val="24"/>
                <w:szCs w:val="24"/>
              </w:rPr>
              <w:t>ās</w:t>
            </w:r>
            <w:r w:rsidRPr="00B821EA">
              <w:rPr>
                <w:sz w:val="24"/>
                <w:szCs w:val="24"/>
              </w:rPr>
              <w:t xml:space="preserve"> daļ</w:t>
            </w:r>
            <w:r>
              <w:rPr>
                <w:sz w:val="24"/>
                <w:szCs w:val="24"/>
              </w:rPr>
              <w:t xml:space="preserve">as 1. punkts: </w:t>
            </w:r>
            <w:r w:rsidRPr="00B821EA">
              <w:rPr>
                <w:sz w:val="24"/>
                <w:szCs w:val="24"/>
              </w:rPr>
              <w:t xml:space="preserve"> </w:t>
            </w:r>
          </w:p>
          <w:p w14:paraId="5E37F67D" w14:textId="77777777" w:rsidR="00F62F40" w:rsidRPr="00B821EA" w:rsidRDefault="00F62F40" w:rsidP="00F62F40">
            <w:pPr>
              <w:contextualSpacing/>
              <w:jc w:val="both"/>
              <w:rPr>
                <w:sz w:val="24"/>
                <w:szCs w:val="24"/>
              </w:rPr>
            </w:pPr>
          </w:p>
          <w:p w14:paraId="23F7F307" w14:textId="77777777" w:rsidR="00F62F40" w:rsidRPr="00B821EA" w:rsidRDefault="00F62F40" w:rsidP="00F62F40">
            <w:pPr>
              <w:contextualSpacing/>
              <w:jc w:val="both"/>
              <w:rPr>
                <w:sz w:val="24"/>
                <w:szCs w:val="24"/>
              </w:rPr>
            </w:pPr>
            <w:r w:rsidRPr="00B821EA">
              <w:rPr>
                <w:sz w:val="24"/>
                <w:szCs w:val="24"/>
              </w:rPr>
              <w:t>“(1) Ar uzņēmumu ienākuma nodokli apliekamajā bāzē iekļauj debitoru parādu summu:</w:t>
            </w:r>
          </w:p>
          <w:p w14:paraId="7A33104E" w14:textId="77777777" w:rsidR="00F62F40" w:rsidRPr="00B821EA" w:rsidRDefault="00F62F40" w:rsidP="00F62F40">
            <w:pPr>
              <w:contextualSpacing/>
              <w:jc w:val="both"/>
              <w:rPr>
                <w:sz w:val="24"/>
                <w:szCs w:val="24"/>
              </w:rPr>
            </w:pPr>
            <w:r w:rsidRPr="00B821EA">
              <w:rPr>
                <w:sz w:val="24"/>
                <w:szCs w:val="24"/>
              </w:rPr>
              <w:t>1)</w:t>
            </w:r>
            <w:r w:rsidRPr="00B821EA">
              <w:rPr>
                <w:sz w:val="24"/>
                <w:szCs w:val="24"/>
              </w:rPr>
              <w:tab/>
              <w:t>kuras apmērā izveidots uzkrājums nedrošiem parādiem,  kas iekļauts izmaksās peļņas vai zaudējumu aprēķinā, un 36 (60, ja debitoram uzsākta maksātnespējas procedūra)  mēnešu laikā no uzkrājuma izveidošanas dienas parāds nav atgūts vai tam šajā periodā nav piemērojams šā panta trešajā daļā minētais atbrīvojums;</w:t>
            </w:r>
          </w:p>
          <w:p w14:paraId="14058C74" w14:textId="77777777" w:rsidR="00F62F40" w:rsidRDefault="00F62F40" w:rsidP="00F62F40">
            <w:pPr>
              <w:contextualSpacing/>
              <w:jc w:val="both"/>
              <w:rPr>
                <w:sz w:val="24"/>
                <w:szCs w:val="24"/>
              </w:rPr>
            </w:pPr>
          </w:p>
        </w:tc>
        <w:tc>
          <w:tcPr>
            <w:tcW w:w="3827" w:type="dxa"/>
          </w:tcPr>
          <w:p w14:paraId="33EA0B65" w14:textId="77777777" w:rsidR="00F62F40" w:rsidRPr="00655E25" w:rsidRDefault="00F62F40" w:rsidP="00F62F40">
            <w:pPr>
              <w:pStyle w:val="naisc"/>
              <w:tabs>
                <w:tab w:val="left" w:pos="993"/>
              </w:tabs>
              <w:rPr>
                <w:b/>
                <w:bCs/>
              </w:rPr>
            </w:pPr>
            <w:r w:rsidRPr="00655E25">
              <w:rPr>
                <w:b/>
                <w:bCs/>
              </w:rPr>
              <w:t xml:space="preserve">Biedrība </w:t>
            </w:r>
            <w:r>
              <w:rPr>
                <w:b/>
                <w:bCs/>
              </w:rPr>
              <w:t>“</w:t>
            </w:r>
            <w:r w:rsidRPr="00655E25">
              <w:rPr>
                <w:b/>
                <w:bCs/>
              </w:rPr>
              <w:t>Tirdzniecības un rūpniecības kamera</w:t>
            </w:r>
            <w:r>
              <w:rPr>
                <w:b/>
                <w:bCs/>
              </w:rPr>
              <w:t>”</w:t>
            </w:r>
            <w:r w:rsidRPr="00655E25">
              <w:rPr>
                <w:b/>
                <w:bCs/>
              </w:rPr>
              <w:t xml:space="preserve"> (LRTK) </w:t>
            </w:r>
          </w:p>
          <w:p w14:paraId="34C3DF95" w14:textId="77777777" w:rsidR="00F62F40" w:rsidRPr="002670CC" w:rsidRDefault="00F62F40" w:rsidP="00F62F40">
            <w:pPr>
              <w:pStyle w:val="naisc"/>
              <w:tabs>
                <w:tab w:val="left" w:pos="993"/>
              </w:tabs>
              <w:jc w:val="both"/>
            </w:pPr>
            <w:r w:rsidRPr="002670CC">
              <w:t xml:space="preserve">Ņemot vērā, COVID-19 krīzes kontekstu un ietekmi uz debitoru parādu atgūšanu, aicinām precizēt </w:t>
            </w:r>
            <w:r w:rsidRPr="00470D6E">
              <w:t>Likum</w:t>
            </w:r>
            <w:r>
              <w:t>a</w:t>
            </w:r>
            <w:r w:rsidRPr="002670CC">
              <w:t xml:space="preserve"> grozījumos ietverto normu 9. panta pirmās daļas 1.punktā, paredzot, ka apliekamajā bāzē iekļauj debitoru parādu uzkrājumus attiecībā uz visiem debitoriem pēc 60 mēnešiem no uzkrājumu izveidošanās nevis pēc 36 mēnešiem, kā šobrīd paredzēts. Ņemot vērā, ka jaunā principa UIN aprēķināšana jeb Uzņēmuma ienākuma nodokļa likums ir spēkā no 2018. gada, tieši 2021. gada decembrī uzņēmumiem pirmo reizi radīsies pienākums ietvert UIN aprēķina bāzē arī uzkrājumus nedrošiem debitoru parādiem un Covid-19 krīzes ietekmē būtu būtiski neuzlikt </w:t>
            </w:r>
            <w:r w:rsidRPr="002670CC">
              <w:lastRenderedPageBreak/>
              <w:t xml:space="preserve">papildus pienākumu UIN aprēķinam. Ievērojot minēto, Likuma 9. panta pirmo daļu izteikt  šādā redakcijā: </w:t>
            </w:r>
          </w:p>
          <w:p w14:paraId="59653251" w14:textId="77777777" w:rsidR="00F62F40" w:rsidRPr="002670CC" w:rsidRDefault="00F62F40" w:rsidP="00F62F40">
            <w:pPr>
              <w:pStyle w:val="naisc"/>
              <w:tabs>
                <w:tab w:val="left" w:pos="993"/>
              </w:tabs>
              <w:jc w:val="both"/>
              <w:rPr>
                <w:b/>
              </w:rPr>
            </w:pPr>
            <w:r w:rsidRPr="002670CC">
              <w:t>“(1) Ar uzņēmumu ienākuma nodokli apliekamajā bāzē iekļauj debitoru parādu summu</w:t>
            </w:r>
            <w:r>
              <w:t xml:space="preserve">, </w:t>
            </w:r>
            <w:r w:rsidRPr="002670CC">
              <w:t>kuras apmērā izveidots uzkrājums nedrošiem parādiem,  kas iekļauts izmaksās peļņas vai zaudējumu aprēķinā, un 60 mēnešu laikā no uzkrājuma izveidošanas dienas parāds nav atgūts vai tam šajā periodā nav piemērojams šā panta trešajā daļā minētais atbrīvojums.</w:t>
            </w:r>
          </w:p>
        </w:tc>
        <w:tc>
          <w:tcPr>
            <w:tcW w:w="3686" w:type="dxa"/>
          </w:tcPr>
          <w:p w14:paraId="1A482971" w14:textId="77777777" w:rsidR="00F62F40" w:rsidRPr="002670CC" w:rsidRDefault="00F62F40" w:rsidP="00F62F40">
            <w:pPr>
              <w:spacing w:before="120" w:after="120"/>
              <w:ind w:right="28"/>
              <w:jc w:val="both"/>
              <w:rPr>
                <w:rFonts w:eastAsia="Times New Roman"/>
                <w:b/>
                <w:bCs/>
                <w:sz w:val="24"/>
                <w:szCs w:val="24"/>
                <w:lang w:eastAsia="lv-LV"/>
              </w:rPr>
            </w:pPr>
            <w:r w:rsidRPr="00926E58">
              <w:rPr>
                <w:rFonts w:eastAsia="Times New Roman"/>
                <w:b/>
                <w:bCs/>
                <w:sz w:val="24"/>
                <w:szCs w:val="24"/>
                <w:lang w:eastAsia="lv-LV"/>
              </w:rPr>
              <w:lastRenderedPageBreak/>
              <w:t>Ņemts vērā</w:t>
            </w:r>
          </w:p>
        </w:tc>
        <w:tc>
          <w:tcPr>
            <w:tcW w:w="3402" w:type="dxa"/>
          </w:tcPr>
          <w:p w14:paraId="5D6A899F" w14:textId="77777777" w:rsidR="00F62F40" w:rsidRPr="00926E58" w:rsidRDefault="00F62F40" w:rsidP="00F62F40">
            <w:pPr>
              <w:contextualSpacing/>
              <w:jc w:val="both"/>
              <w:rPr>
                <w:sz w:val="24"/>
                <w:szCs w:val="24"/>
              </w:rPr>
            </w:pPr>
            <w:r w:rsidRPr="00926E58">
              <w:rPr>
                <w:sz w:val="24"/>
                <w:szCs w:val="24"/>
              </w:rPr>
              <w:t>Pārejas noteikum</w:t>
            </w:r>
            <w:r>
              <w:rPr>
                <w:sz w:val="24"/>
                <w:szCs w:val="24"/>
              </w:rPr>
              <w:t xml:space="preserve">u </w:t>
            </w:r>
            <w:r w:rsidRPr="00926E58">
              <w:rPr>
                <w:sz w:val="24"/>
                <w:szCs w:val="24"/>
              </w:rPr>
              <w:t>46.</w:t>
            </w:r>
            <w:r>
              <w:rPr>
                <w:sz w:val="24"/>
                <w:szCs w:val="24"/>
              </w:rPr>
              <w:t xml:space="preserve"> </w:t>
            </w:r>
            <w:r w:rsidRPr="00926E58">
              <w:rPr>
                <w:sz w:val="24"/>
                <w:szCs w:val="24"/>
              </w:rPr>
              <w:t>punkt</w:t>
            </w:r>
            <w:r>
              <w:rPr>
                <w:sz w:val="24"/>
                <w:szCs w:val="24"/>
              </w:rPr>
              <w:t>s:</w:t>
            </w:r>
            <w:r w:rsidRPr="00926E58">
              <w:rPr>
                <w:sz w:val="24"/>
                <w:szCs w:val="24"/>
              </w:rPr>
              <w:t xml:space="preserve"> </w:t>
            </w:r>
          </w:p>
          <w:p w14:paraId="5B2E9418" w14:textId="77777777" w:rsidR="00F62F40" w:rsidRDefault="00F62F40" w:rsidP="00F62F40">
            <w:pPr>
              <w:contextualSpacing/>
              <w:jc w:val="both"/>
              <w:rPr>
                <w:sz w:val="24"/>
                <w:szCs w:val="24"/>
              </w:rPr>
            </w:pPr>
          </w:p>
          <w:p w14:paraId="24F435CF" w14:textId="77777777" w:rsidR="00F62F40" w:rsidRPr="008C475D" w:rsidRDefault="00F62F40" w:rsidP="00F62F40">
            <w:pPr>
              <w:contextualSpacing/>
              <w:jc w:val="both"/>
              <w:rPr>
                <w:sz w:val="24"/>
                <w:szCs w:val="24"/>
              </w:rPr>
            </w:pPr>
            <w:r w:rsidRPr="00926E58">
              <w:rPr>
                <w:sz w:val="24"/>
                <w:szCs w:val="24"/>
              </w:rPr>
              <w:t>“46. Piemērojot šā likuma 9. panta pirmās daļas 1.punktu, parādiem, kuriem izveidots uzkrājums  līdz 2021. gada 31. decembrim, periods nodokļu bāzes palielināšanai ir  60 mēneši no uzkrājuma izveidošanas dienas</w:t>
            </w:r>
            <w:r>
              <w:rPr>
                <w:sz w:val="24"/>
                <w:szCs w:val="24"/>
              </w:rPr>
              <w:t>.”</w:t>
            </w:r>
            <w:r w:rsidRPr="00926E58">
              <w:rPr>
                <w:sz w:val="24"/>
                <w:szCs w:val="24"/>
              </w:rPr>
              <w:t xml:space="preserve"> </w:t>
            </w:r>
          </w:p>
        </w:tc>
      </w:tr>
      <w:tr w:rsidR="00C444B4" w:rsidRPr="003D697F" w14:paraId="7C1B2FD1" w14:textId="77777777" w:rsidTr="00655E25">
        <w:tc>
          <w:tcPr>
            <w:tcW w:w="675" w:type="dxa"/>
          </w:tcPr>
          <w:p w14:paraId="56CBD33E" w14:textId="77777777" w:rsidR="00C444B4"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t xml:space="preserve">2. </w:t>
            </w:r>
          </w:p>
        </w:tc>
        <w:tc>
          <w:tcPr>
            <w:tcW w:w="3544" w:type="dxa"/>
          </w:tcPr>
          <w:p w14:paraId="6473E25D" w14:textId="77777777" w:rsidR="00C444B4" w:rsidRPr="004C3C8C" w:rsidRDefault="00C444B4" w:rsidP="00C444B4">
            <w:pPr>
              <w:contextualSpacing/>
              <w:jc w:val="both"/>
              <w:rPr>
                <w:sz w:val="24"/>
                <w:szCs w:val="24"/>
              </w:rPr>
            </w:pPr>
          </w:p>
        </w:tc>
        <w:tc>
          <w:tcPr>
            <w:tcW w:w="3827" w:type="dxa"/>
          </w:tcPr>
          <w:p w14:paraId="4CBFF8C1" w14:textId="77777777" w:rsidR="00C444B4" w:rsidRPr="00E81BCD" w:rsidRDefault="00C444B4" w:rsidP="00C444B4">
            <w:pPr>
              <w:pStyle w:val="naisc"/>
              <w:tabs>
                <w:tab w:val="left" w:pos="993"/>
              </w:tabs>
              <w:jc w:val="both"/>
            </w:pPr>
            <w:r w:rsidRPr="00655E25">
              <w:rPr>
                <w:b/>
                <w:bCs/>
              </w:rPr>
              <w:t>Biedrība “Tirdzniecības un rūpniecības kamera” (LRTK)</w:t>
            </w:r>
          </w:p>
          <w:p w14:paraId="7BB6DE53" w14:textId="77777777" w:rsidR="00C444B4" w:rsidRPr="00655E25" w:rsidRDefault="00C444B4" w:rsidP="00C444B4">
            <w:pPr>
              <w:pStyle w:val="naisc"/>
              <w:tabs>
                <w:tab w:val="left" w:pos="993"/>
              </w:tabs>
              <w:jc w:val="both"/>
            </w:pPr>
            <w:r w:rsidRPr="00655E25">
              <w:t>Rosinām Likumprojektu papildināt ar jaunu pantu, kas likuma 9. panta otro daļu papildināt ar 3. punktu šādā redakcijā:</w:t>
            </w:r>
          </w:p>
          <w:p w14:paraId="317C0AAB" w14:textId="77777777" w:rsidR="00C444B4" w:rsidRPr="00655E25" w:rsidRDefault="00C444B4" w:rsidP="00C444B4">
            <w:pPr>
              <w:pStyle w:val="naisc"/>
              <w:tabs>
                <w:tab w:val="left" w:pos="993"/>
              </w:tabs>
              <w:jc w:val="both"/>
            </w:pPr>
            <w:r w:rsidRPr="00655E25">
              <w:t>“3) licencētu patērētāju kreditēšanas pakalpojumu sniedzēju izveidotajiem debitoru uzkrājumiem vai to norakstījumiem tieši zaudējumos, kas veikti saskaņā ar Gada pārskatu un konsolidēto gada pārskatu likuma prasībām vai Starptautisko Finanšu sagatavošanas standartu prasībām.”</w:t>
            </w:r>
          </w:p>
          <w:p w14:paraId="7EB206FA" w14:textId="77777777" w:rsidR="00C444B4" w:rsidRPr="00655E25" w:rsidRDefault="00C444B4" w:rsidP="00C444B4">
            <w:pPr>
              <w:pStyle w:val="naisc"/>
              <w:tabs>
                <w:tab w:val="left" w:pos="993"/>
              </w:tabs>
              <w:jc w:val="both"/>
            </w:pPr>
            <w:r w:rsidRPr="00655E25">
              <w:t xml:space="preserve">Ietverot likumā šādu papildinājumu, </w:t>
            </w:r>
            <w:r w:rsidRPr="00655E25">
              <w:lastRenderedPageBreak/>
              <w:t>patērētāju kreditēšanas pakalpojumu sniedzējiem tiktu paredzēts vienlīdzīgs nodokļu režīms ar kredītiestādēm un krājaizdevu sabiedrībām paredzēto nodokļu režīmu šajā jautājumā. Proti, šobrīd Likuma 9.panta otrās daļas 1. punktā paredzēts, ka pienākums ar uzņēmuma ienākuma nodokli apliekamajā bāzē iekļaut 9.panta pirmajā daļā norādītās debitoru parādu summas neattiecas uz “kredītiestāžu un krājaizdevu sabiedrību izveidotajiem debitoru uzkrājumiem vai to norakstījumiem tieši zaudējumos, kas veikti saskaņā ar Starptautisko Finanšu sagatavošanas standartu prasībām vai Finanšu un kapitāla tirgus komisijas normatīvajos noteikumos paredzēto uzkrājumu veidošanas kārtību”.</w:t>
            </w:r>
          </w:p>
          <w:p w14:paraId="0EC2A241" w14:textId="77777777" w:rsidR="00C444B4" w:rsidRPr="00655E25" w:rsidRDefault="00C444B4" w:rsidP="00C444B4">
            <w:pPr>
              <w:pStyle w:val="naisc"/>
              <w:tabs>
                <w:tab w:val="left" w:pos="993"/>
              </w:tabs>
              <w:jc w:val="both"/>
            </w:pPr>
            <w:r w:rsidRPr="00655E25">
              <w:t>Gan kredītiestādes, gan nebanku patērētāju kreditēšanas uzņēmumi sniedz finanšu pakalpojumus Latvijas patērētājiem, piedāvājot līdzīga rakstura produktus, piemēram, līzings, kredītlīnija, kredīts ar atmaksas grafiku, hipotēka.</w:t>
            </w:r>
          </w:p>
        </w:tc>
        <w:tc>
          <w:tcPr>
            <w:tcW w:w="3686" w:type="dxa"/>
          </w:tcPr>
          <w:p w14:paraId="5BD74DC9" w14:textId="77777777" w:rsidR="00C444B4" w:rsidRDefault="00C444B4" w:rsidP="00C444B4">
            <w:pPr>
              <w:spacing w:before="120" w:after="120"/>
              <w:ind w:right="28"/>
              <w:jc w:val="both"/>
              <w:rPr>
                <w:rFonts w:eastAsia="Times New Roman"/>
                <w:b/>
                <w:bCs/>
                <w:sz w:val="24"/>
                <w:szCs w:val="24"/>
                <w:lang w:eastAsia="lv-LV"/>
              </w:rPr>
            </w:pPr>
            <w:r>
              <w:rPr>
                <w:rFonts w:eastAsia="Times New Roman"/>
                <w:b/>
                <w:bCs/>
                <w:sz w:val="24"/>
                <w:szCs w:val="24"/>
                <w:lang w:eastAsia="lv-LV"/>
              </w:rPr>
              <w:lastRenderedPageBreak/>
              <w:t>Panākta vienošanās starpinstitūciju sanāksmē</w:t>
            </w:r>
          </w:p>
          <w:p w14:paraId="6DCFFE5E" w14:textId="77777777" w:rsidR="00C444B4" w:rsidRDefault="00C444B4" w:rsidP="00C444B4">
            <w:pPr>
              <w:spacing w:before="120" w:after="120"/>
              <w:ind w:right="28"/>
              <w:jc w:val="both"/>
              <w:rPr>
                <w:rFonts w:eastAsia="Times New Roman"/>
                <w:sz w:val="24"/>
                <w:szCs w:val="24"/>
                <w:lang w:eastAsia="lv-LV"/>
              </w:rPr>
            </w:pPr>
          </w:p>
        </w:tc>
        <w:tc>
          <w:tcPr>
            <w:tcW w:w="3402" w:type="dxa"/>
          </w:tcPr>
          <w:p w14:paraId="5F5E60FF" w14:textId="77777777" w:rsidR="00C444B4" w:rsidRPr="00C444B4" w:rsidRDefault="00C444B4" w:rsidP="00C444B4">
            <w:pPr>
              <w:contextualSpacing/>
              <w:jc w:val="both"/>
              <w:rPr>
                <w:sz w:val="24"/>
                <w:szCs w:val="24"/>
              </w:rPr>
            </w:pPr>
            <w:r w:rsidRPr="00C444B4">
              <w:rPr>
                <w:sz w:val="24"/>
                <w:szCs w:val="24"/>
              </w:rPr>
              <w:t>Papildināta anotācija (skat. anotāciju).</w:t>
            </w:r>
          </w:p>
          <w:p w14:paraId="42BBF26D" w14:textId="77777777" w:rsidR="00C444B4" w:rsidRPr="00C444B4" w:rsidRDefault="00C444B4" w:rsidP="00C444B4">
            <w:pPr>
              <w:contextualSpacing/>
              <w:jc w:val="both"/>
              <w:rPr>
                <w:sz w:val="24"/>
                <w:szCs w:val="24"/>
              </w:rPr>
            </w:pPr>
          </w:p>
          <w:p w14:paraId="3F5006A1" w14:textId="77777777" w:rsidR="00C444B4" w:rsidRDefault="00C444B4" w:rsidP="00C444B4">
            <w:pPr>
              <w:contextualSpacing/>
              <w:jc w:val="both"/>
              <w:rPr>
                <w:sz w:val="24"/>
                <w:szCs w:val="24"/>
              </w:rPr>
            </w:pPr>
          </w:p>
        </w:tc>
      </w:tr>
      <w:tr w:rsidR="00C444B4" w:rsidRPr="003D697F" w14:paraId="62CE448F" w14:textId="77777777" w:rsidTr="00655E25">
        <w:tc>
          <w:tcPr>
            <w:tcW w:w="675" w:type="dxa"/>
          </w:tcPr>
          <w:p w14:paraId="3A066341" w14:textId="77777777" w:rsidR="00C444B4" w:rsidRPr="003D697F"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t>3.</w:t>
            </w:r>
          </w:p>
        </w:tc>
        <w:tc>
          <w:tcPr>
            <w:tcW w:w="3544" w:type="dxa"/>
          </w:tcPr>
          <w:p w14:paraId="221A980C" w14:textId="77777777" w:rsidR="00C444B4" w:rsidRDefault="00C444B4" w:rsidP="00C444B4">
            <w:pPr>
              <w:pStyle w:val="NormalWeb"/>
              <w:spacing w:before="120" w:after="120"/>
              <w:ind w:firstLine="0"/>
              <w:rPr>
                <w:lang w:val="lv-LV"/>
              </w:rPr>
            </w:pPr>
            <w:r>
              <w:rPr>
                <w:lang w:val="lv-LV"/>
              </w:rPr>
              <w:t xml:space="preserve">Likuma  9.panta septītā daļa: </w:t>
            </w:r>
          </w:p>
          <w:p w14:paraId="7147B942" w14:textId="77777777" w:rsidR="00C444B4" w:rsidRPr="007D481E" w:rsidRDefault="00C444B4" w:rsidP="00C444B4">
            <w:pPr>
              <w:pStyle w:val="NormalWeb"/>
              <w:spacing w:before="120" w:after="120"/>
              <w:rPr>
                <w:lang w:val="lv-LV"/>
              </w:rPr>
            </w:pPr>
            <w:r w:rsidRPr="007D481E">
              <w:rPr>
                <w:lang w:val="lv-LV"/>
              </w:rPr>
              <w:t xml:space="preserve">“(7) Šā panta pirmās daļas 1.punktu nepiemēro debitoru parādu summai, kurai izveidots </w:t>
            </w:r>
            <w:r w:rsidRPr="007D481E">
              <w:rPr>
                <w:lang w:val="lv-LV"/>
              </w:rPr>
              <w:lastRenderedPageBreak/>
              <w:t>uzkrājums nedrošajiem parādiem atbilstoši starptautiskajam finanšu pārskatu standartam Nr.9 "Finanšu instrumenti" (turpmāk - SFPS Nr.9), ja vienlaikus ievērotas šādas prasības:</w:t>
            </w:r>
          </w:p>
          <w:p w14:paraId="679AFBF4" w14:textId="77777777" w:rsidR="00C444B4" w:rsidRPr="003D697F" w:rsidRDefault="00C444B4" w:rsidP="00C444B4">
            <w:pPr>
              <w:pStyle w:val="NormalWeb"/>
              <w:spacing w:before="120" w:after="120"/>
              <w:ind w:firstLine="0"/>
              <w:rPr>
                <w:lang w:val="lv-LV"/>
              </w:rPr>
            </w:pPr>
          </w:p>
        </w:tc>
        <w:tc>
          <w:tcPr>
            <w:tcW w:w="3827" w:type="dxa"/>
          </w:tcPr>
          <w:p w14:paraId="3FC0BDE5" w14:textId="77777777" w:rsidR="00C444B4" w:rsidRPr="00EF0A2C" w:rsidRDefault="00C444B4" w:rsidP="00C444B4">
            <w:pPr>
              <w:pStyle w:val="NormalWeb"/>
              <w:spacing w:before="120" w:after="120"/>
              <w:ind w:firstLine="0"/>
              <w:rPr>
                <w:b/>
                <w:lang w:val="lv-LV"/>
              </w:rPr>
            </w:pPr>
            <w:r w:rsidRPr="00EF0A2C">
              <w:rPr>
                <w:b/>
                <w:lang w:val="lv-LV"/>
              </w:rPr>
              <w:lastRenderedPageBreak/>
              <w:t xml:space="preserve">Tieslietu ministrija </w:t>
            </w:r>
          </w:p>
          <w:p w14:paraId="6041D680" w14:textId="77777777" w:rsidR="00C444B4" w:rsidRPr="004E3C61" w:rsidRDefault="00C444B4" w:rsidP="00C444B4">
            <w:pPr>
              <w:pStyle w:val="naisc"/>
              <w:tabs>
                <w:tab w:val="left" w:pos="993"/>
              </w:tabs>
              <w:jc w:val="both"/>
            </w:pPr>
            <w:r>
              <w:t xml:space="preserve">1.Projekta sākotnējās ietekmes novērtējuma ziņojuma (turpmāk – </w:t>
            </w:r>
            <w:r>
              <w:lastRenderedPageBreak/>
              <w:t xml:space="preserve">anotācija) I sadaļas 2. punktā ir norādīts, ka starptautiskais finanšu pārskata standarts Nr. 9 Latvijas tiesību aktos tika pārņemts ar 2018. gada 1. janvāri, tomēr no minētā </w:t>
            </w:r>
            <w:r w:rsidRPr="004C3C8C">
              <w:rPr>
                <w:u w:val="single"/>
              </w:rPr>
              <w:t>nav skaidri saprotams, vai minētais standarts ir noteikts kā obligāti piemērojams Latvijas nacionālajos standartos</w:t>
            </w:r>
            <w:r>
              <w:t xml:space="preserve">. </w:t>
            </w:r>
            <w:r w:rsidRPr="00760AA1">
              <w:t>Lūdzam precizēt projekta 1. punktā izteikto Uzņēmumu ienākuma nodokļa likuma 9. panta septīto daļu atbilstoši noteikumu Nr. 108 5. nodaļai un</w:t>
            </w:r>
            <w:r>
              <w:t xml:space="preserve"> </w:t>
            </w:r>
            <w:r w:rsidRPr="002670CC">
              <w:rPr>
                <w:u w:val="single"/>
              </w:rPr>
              <w:t>papildināt anotāciju ar atbilstošu skaidrojumu.</w:t>
            </w:r>
          </w:p>
        </w:tc>
        <w:tc>
          <w:tcPr>
            <w:tcW w:w="3686" w:type="dxa"/>
          </w:tcPr>
          <w:p w14:paraId="58CEE44F" w14:textId="77777777" w:rsidR="00C444B4" w:rsidRPr="005955DF" w:rsidRDefault="00C444B4" w:rsidP="00C444B4">
            <w:pPr>
              <w:spacing w:before="120" w:after="120"/>
              <w:ind w:right="28"/>
              <w:jc w:val="both"/>
              <w:rPr>
                <w:rFonts w:eastAsia="Times New Roman"/>
                <w:b/>
                <w:sz w:val="24"/>
                <w:szCs w:val="24"/>
                <w:lang w:eastAsia="lv-LV"/>
              </w:rPr>
            </w:pPr>
            <w:r w:rsidRPr="005955DF">
              <w:rPr>
                <w:rFonts w:eastAsia="Times New Roman"/>
                <w:b/>
                <w:sz w:val="24"/>
                <w:szCs w:val="24"/>
                <w:lang w:eastAsia="lv-LV"/>
              </w:rPr>
              <w:lastRenderedPageBreak/>
              <w:t xml:space="preserve">Ņemts vērā </w:t>
            </w:r>
          </w:p>
          <w:p w14:paraId="1419958D" w14:textId="77777777" w:rsidR="00C444B4" w:rsidRPr="002670CC" w:rsidRDefault="00C444B4" w:rsidP="00C444B4">
            <w:pPr>
              <w:spacing w:before="120" w:after="120"/>
              <w:ind w:right="28"/>
              <w:jc w:val="both"/>
              <w:rPr>
                <w:rFonts w:eastAsia="Times New Roman"/>
                <w:sz w:val="24"/>
                <w:szCs w:val="24"/>
                <w:lang w:eastAsia="lv-LV"/>
              </w:rPr>
            </w:pPr>
          </w:p>
        </w:tc>
        <w:tc>
          <w:tcPr>
            <w:tcW w:w="3402" w:type="dxa"/>
          </w:tcPr>
          <w:p w14:paraId="348AF673" w14:textId="77777777" w:rsidR="00C444B4" w:rsidRPr="00926E58" w:rsidRDefault="00C444B4" w:rsidP="00C444B4">
            <w:pPr>
              <w:jc w:val="both"/>
              <w:rPr>
                <w:sz w:val="24"/>
                <w:szCs w:val="24"/>
              </w:rPr>
            </w:pPr>
            <w:r w:rsidRPr="00926E58">
              <w:rPr>
                <w:sz w:val="24"/>
                <w:szCs w:val="24"/>
              </w:rPr>
              <w:t>Likuma 9.pant</w:t>
            </w:r>
            <w:r w:rsidR="00042D19">
              <w:rPr>
                <w:sz w:val="24"/>
                <w:szCs w:val="24"/>
              </w:rPr>
              <w:t>a</w:t>
            </w:r>
            <w:r w:rsidRPr="00926E58">
              <w:rPr>
                <w:sz w:val="24"/>
                <w:szCs w:val="24"/>
              </w:rPr>
              <w:t xml:space="preserve"> septīt</w:t>
            </w:r>
            <w:r w:rsidR="00042D19">
              <w:rPr>
                <w:sz w:val="24"/>
                <w:szCs w:val="24"/>
              </w:rPr>
              <w:t>ā</w:t>
            </w:r>
            <w:r w:rsidRPr="00926E58">
              <w:rPr>
                <w:sz w:val="24"/>
                <w:szCs w:val="24"/>
              </w:rPr>
              <w:t xml:space="preserve"> daļ</w:t>
            </w:r>
            <w:r w:rsidR="00042D19">
              <w:rPr>
                <w:sz w:val="24"/>
                <w:szCs w:val="24"/>
              </w:rPr>
              <w:t>a</w:t>
            </w:r>
            <w:r w:rsidRPr="00926E58">
              <w:rPr>
                <w:sz w:val="24"/>
                <w:szCs w:val="24"/>
              </w:rPr>
              <w:t>:</w:t>
            </w:r>
          </w:p>
          <w:p w14:paraId="521D6468" w14:textId="77777777" w:rsidR="00C444B4" w:rsidRPr="00926E58" w:rsidRDefault="00C444B4" w:rsidP="00C444B4">
            <w:pPr>
              <w:jc w:val="both"/>
              <w:rPr>
                <w:sz w:val="24"/>
                <w:szCs w:val="24"/>
              </w:rPr>
            </w:pPr>
            <w:r w:rsidRPr="00926E58" w:rsidDel="00266FD2">
              <w:rPr>
                <w:sz w:val="24"/>
                <w:szCs w:val="24"/>
              </w:rPr>
              <w:t xml:space="preserve"> </w:t>
            </w:r>
          </w:p>
          <w:p w14:paraId="4CA1C053" w14:textId="77777777" w:rsidR="00C444B4" w:rsidRPr="00926E58" w:rsidRDefault="00C444B4" w:rsidP="00C444B4">
            <w:pPr>
              <w:jc w:val="both"/>
              <w:rPr>
                <w:sz w:val="24"/>
                <w:szCs w:val="24"/>
              </w:rPr>
            </w:pPr>
            <w:r w:rsidRPr="00926E58">
              <w:rPr>
                <w:sz w:val="24"/>
                <w:szCs w:val="24"/>
              </w:rPr>
              <w:t xml:space="preserve">“(7) Šā panta pirmās daļas 1.punktu nepiemēro debitoru parādu summai, kurai izveidots </w:t>
            </w:r>
            <w:r w:rsidRPr="00926E58">
              <w:rPr>
                <w:sz w:val="24"/>
                <w:szCs w:val="24"/>
              </w:rPr>
              <w:lastRenderedPageBreak/>
              <w:t>uzkrājums nedrošajiem parādiem atbilstoši Starptautiskajam Finanšu pārskatu standartam Nr.9 "Finanšu instrumenti", ja vienlaikus ievērotas šādas prasības:”</w:t>
            </w:r>
          </w:p>
          <w:p w14:paraId="745C021F" w14:textId="77777777" w:rsidR="00C444B4" w:rsidRPr="00926E58" w:rsidRDefault="00C444B4" w:rsidP="00C444B4">
            <w:pPr>
              <w:jc w:val="both"/>
              <w:rPr>
                <w:sz w:val="24"/>
                <w:szCs w:val="24"/>
              </w:rPr>
            </w:pPr>
          </w:p>
          <w:p w14:paraId="08CA5487" w14:textId="77777777" w:rsidR="00C444B4" w:rsidRPr="00926E58" w:rsidRDefault="00C444B4" w:rsidP="00C444B4">
            <w:pPr>
              <w:jc w:val="both"/>
              <w:rPr>
                <w:sz w:val="24"/>
                <w:szCs w:val="24"/>
              </w:rPr>
            </w:pPr>
            <w:r w:rsidRPr="00926E58">
              <w:rPr>
                <w:sz w:val="24"/>
                <w:szCs w:val="24"/>
              </w:rPr>
              <w:t>Anotācija papildināta ar skaidrojumu (skat. anotāciju).</w:t>
            </w:r>
          </w:p>
          <w:p w14:paraId="55197CDC" w14:textId="77777777" w:rsidR="00C444B4" w:rsidRPr="00926E58" w:rsidRDefault="00C444B4" w:rsidP="00C444B4">
            <w:pPr>
              <w:jc w:val="both"/>
              <w:rPr>
                <w:sz w:val="24"/>
                <w:szCs w:val="24"/>
              </w:rPr>
            </w:pPr>
          </w:p>
          <w:p w14:paraId="4DD7D824" w14:textId="77777777" w:rsidR="00C444B4" w:rsidRPr="00926E58" w:rsidRDefault="00C444B4" w:rsidP="00C444B4">
            <w:pPr>
              <w:jc w:val="both"/>
              <w:rPr>
                <w:sz w:val="24"/>
                <w:szCs w:val="24"/>
              </w:rPr>
            </w:pPr>
          </w:p>
          <w:p w14:paraId="6C8BBD35" w14:textId="77777777" w:rsidR="00C444B4" w:rsidRPr="00926E58" w:rsidRDefault="00C444B4" w:rsidP="00C444B4">
            <w:pPr>
              <w:jc w:val="both"/>
              <w:rPr>
                <w:sz w:val="24"/>
                <w:szCs w:val="24"/>
              </w:rPr>
            </w:pPr>
          </w:p>
          <w:p w14:paraId="47E69C2E" w14:textId="77777777" w:rsidR="00C444B4" w:rsidRPr="00926E58" w:rsidRDefault="00C444B4" w:rsidP="00C444B4">
            <w:pPr>
              <w:jc w:val="both"/>
              <w:rPr>
                <w:sz w:val="24"/>
                <w:szCs w:val="24"/>
              </w:rPr>
            </w:pPr>
          </w:p>
          <w:p w14:paraId="75026959" w14:textId="77777777" w:rsidR="00C444B4" w:rsidRPr="00926E58" w:rsidRDefault="00C444B4" w:rsidP="00C444B4">
            <w:pPr>
              <w:jc w:val="both"/>
              <w:rPr>
                <w:sz w:val="24"/>
                <w:szCs w:val="24"/>
              </w:rPr>
            </w:pPr>
          </w:p>
          <w:p w14:paraId="789076F6" w14:textId="77777777" w:rsidR="00C444B4" w:rsidRPr="00926E58" w:rsidRDefault="00C444B4" w:rsidP="00C444B4">
            <w:pPr>
              <w:jc w:val="both"/>
              <w:rPr>
                <w:sz w:val="24"/>
                <w:szCs w:val="24"/>
              </w:rPr>
            </w:pPr>
          </w:p>
          <w:p w14:paraId="5930B07B" w14:textId="77777777" w:rsidR="00C444B4" w:rsidRPr="00926E58" w:rsidRDefault="00C444B4" w:rsidP="00C444B4">
            <w:pPr>
              <w:jc w:val="both"/>
              <w:rPr>
                <w:sz w:val="24"/>
                <w:szCs w:val="24"/>
              </w:rPr>
            </w:pPr>
          </w:p>
          <w:p w14:paraId="3BEF34ED" w14:textId="77777777" w:rsidR="00C444B4" w:rsidRPr="00926E58" w:rsidRDefault="00C444B4" w:rsidP="00C444B4">
            <w:pPr>
              <w:jc w:val="both"/>
              <w:rPr>
                <w:sz w:val="24"/>
                <w:szCs w:val="24"/>
              </w:rPr>
            </w:pPr>
          </w:p>
        </w:tc>
      </w:tr>
      <w:tr w:rsidR="00C444B4" w:rsidRPr="003D697F" w14:paraId="0DAB192F" w14:textId="77777777" w:rsidTr="00655E25">
        <w:tc>
          <w:tcPr>
            <w:tcW w:w="675" w:type="dxa"/>
          </w:tcPr>
          <w:p w14:paraId="1E290156" w14:textId="77777777" w:rsidR="00C444B4" w:rsidRPr="003D697F"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lastRenderedPageBreak/>
              <w:t>4.</w:t>
            </w:r>
          </w:p>
        </w:tc>
        <w:tc>
          <w:tcPr>
            <w:tcW w:w="3544" w:type="dxa"/>
          </w:tcPr>
          <w:p w14:paraId="2624FC7D" w14:textId="77777777" w:rsidR="00C444B4" w:rsidRDefault="00C444B4" w:rsidP="00C444B4">
            <w:pPr>
              <w:pStyle w:val="NormalWeb"/>
              <w:spacing w:before="120" w:after="120"/>
              <w:ind w:firstLine="0"/>
              <w:rPr>
                <w:lang w:val="lv-LV"/>
              </w:rPr>
            </w:pPr>
          </w:p>
        </w:tc>
        <w:tc>
          <w:tcPr>
            <w:tcW w:w="3827" w:type="dxa"/>
          </w:tcPr>
          <w:p w14:paraId="73F6FC62" w14:textId="77777777" w:rsidR="00C444B4" w:rsidRDefault="00C444B4" w:rsidP="00C444B4">
            <w:pPr>
              <w:pStyle w:val="naisc"/>
              <w:tabs>
                <w:tab w:val="left" w:pos="993"/>
              </w:tabs>
            </w:pPr>
            <w:r w:rsidRPr="00655E25">
              <w:rPr>
                <w:b/>
                <w:bCs/>
              </w:rPr>
              <w:t xml:space="preserve">Biedrība “Tirdzniecības un rūpniecības kamera” (LRTK) </w:t>
            </w:r>
          </w:p>
          <w:p w14:paraId="653D258C" w14:textId="77777777" w:rsidR="00C444B4" w:rsidRDefault="00C444B4" w:rsidP="00C444B4">
            <w:pPr>
              <w:pStyle w:val="naisc"/>
              <w:tabs>
                <w:tab w:val="left" w:pos="993"/>
              </w:tabs>
              <w:jc w:val="both"/>
            </w:pPr>
            <w:r>
              <w:t xml:space="preserve">Attiecībā uz Likumprojektā ietvertajiem grozījumiem Likuma 9. panta septītajā un astotajā daļā un attiecīgo pārejas noteikumu 45. punktu, vēršam uzmanību, ka minētie grozījumi ir  attiecināmi uz periodu kopš 2018. gada 1. janvāra (norma piemērojama par atpakaļejošu periodu) un attiecīgi – piemērojami arī iepriekšējo gadu uzņēmuma finanšu pārskatiem. Minētā norma attiecināma uz UIN apliekamās bāzes  palielināšanu par debitoru parādu vispārējiem </w:t>
            </w:r>
            <w:r>
              <w:lastRenderedPageBreak/>
              <w:t xml:space="preserve">uzkrājumiem (atbilstoši finanšu standartiem aprēķināt noteiktu apjomu iespējamo debitoru parādu uzkrājumu), kas pārsniedz 36 mēnešus. </w:t>
            </w:r>
          </w:p>
          <w:p w14:paraId="75D66611" w14:textId="77777777" w:rsidR="00C444B4" w:rsidRDefault="00C444B4" w:rsidP="00C444B4">
            <w:pPr>
              <w:pStyle w:val="naisc"/>
              <w:tabs>
                <w:tab w:val="left" w:pos="993"/>
              </w:tabs>
              <w:jc w:val="both"/>
            </w:pPr>
            <w:r>
              <w:t>Likumprojektā paredzēts UIN apliekamās bāzes palielināšanas izņēmums tikai situācijas, kad finanšu pārskatos (arī par iepriekšējiem gadiem) ir bijusi norādīta atkāpe – gada pārskatu un konsolidēto gada pārskatu likuma, debitoru parādu atzīšanai, novērtēšanai un norādīšanai izmantotas Starptautisko finanšu pārskatu standartu (turpmāk – SFPS) Nr.9 prasības.</w:t>
            </w:r>
          </w:p>
          <w:p w14:paraId="3D167DD5" w14:textId="77777777" w:rsidR="00C444B4" w:rsidRDefault="00C444B4" w:rsidP="00C444B4">
            <w:pPr>
              <w:pStyle w:val="naisc"/>
              <w:tabs>
                <w:tab w:val="left" w:pos="993"/>
              </w:tabs>
              <w:jc w:val="both"/>
            </w:pPr>
            <w:r>
              <w:t xml:space="preserve">Ņemot vērā, ka norma piemērojama ar atpakaļejošu datumu un pat, ja uzņēmums jau līdz šim veido uzkrājumus atbilstoši 9.SFPS prasībām, šāda atkāpe varēja nebūt īpaši ietverta iepriekšējo periodu gada pārskatos, jo SFPS Nr. 9 standarta prasības nav īpaši atšķirīgas vai pretrunā LR normatīvo aktu prasībām, un tādēļ šāda atsauce iepriekšējo periodu gada pārskatos var nebūt īpaši norādīta, neskatoties uz to, ka prasības ir ievērotas un zvērināts revidents tās atzinis par atbilstošām. Iepriekšējo gadu finanšu </w:t>
            </w:r>
            <w:r>
              <w:lastRenderedPageBreak/>
              <w:t>pārskatu precizēšana tikvien ar mērķi iekļaut papildus atkāpi par SPFP 9.standartu, ir nesamērīgs administratīvais un finansiālais slogs (revīzijas process). Šādu atkāpi var ietvert turpmākajos gada pārskatos, bet ne attiecībā uz jau apstiprinātajiem gada pārskatiem, tamdēļ LTRK iebilst pret šādas prasības noteikšanu iepriekšminētajās UIN likuma normās.</w:t>
            </w:r>
          </w:p>
          <w:p w14:paraId="22E61E56" w14:textId="77777777" w:rsidR="00C444B4" w:rsidRDefault="00C444B4" w:rsidP="00C444B4">
            <w:pPr>
              <w:pStyle w:val="naisc"/>
              <w:tabs>
                <w:tab w:val="left" w:pos="993"/>
              </w:tabs>
              <w:jc w:val="both"/>
            </w:pPr>
            <w:r>
              <w:t xml:space="preserve">Līdz ar to lūdzam precizēt Likumprojektā ietverto redakciju – precizējot sekojoši UIN likuma 9.panta septīto un/vai astoto daļu attiecībā uz iepriekšējo gadu finanšu pārskatiem, paredzot vienkāršotu paša uzņēmuma, vai revidentu apliecinājumu, nevis nosakot prasību ietvert gada  finanšu pārskatā atkāpi attiecībā uz SFPS 9.standartu. </w:t>
            </w:r>
          </w:p>
          <w:p w14:paraId="7126876E" w14:textId="77777777" w:rsidR="00C444B4" w:rsidRDefault="00C444B4" w:rsidP="00C444B4">
            <w:pPr>
              <w:pStyle w:val="naisc"/>
              <w:tabs>
                <w:tab w:val="left" w:pos="993"/>
              </w:tabs>
              <w:jc w:val="both"/>
            </w:pPr>
            <w:r>
              <w:t xml:space="preserve">Izteikt likumprojekta 9.panta septīto daļu šādā redakcijā: </w:t>
            </w:r>
          </w:p>
          <w:p w14:paraId="6E267E05" w14:textId="77777777" w:rsidR="00C444B4" w:rsidRDefault="00C444B4" w:rsidP="00C444B4">
            <w:pPr>
              <w:pStyle w:val="naisc"/>
              <w:tabs>
                <w:tab w:val="left" w:pos="993"/>
              </w:tabs>
              <w:jc w:val="both"/>
            </w:pPr>
            <w:r>
              <w:t xml:space="preserve">(7) Šā panta pirmās daļas 1.punktu nepiemēro debitoru parādu summai, kurai izveidots uzkrājums nedrošajiem parādiem atbilstoši starptautiskajam finanšu pārskatu standartam Nr.9 "Finanšu instrumenti" (turpmāk – SFPS Nr.9), </w:t>
            </w:r>
            <w:r>
              <w:lastRenderedPageBreak/>
              <w:t xml:space="preserve">ja vienlaikus ievērotas šādas prasības: </w:t>
            </w:r>
          </w:p>
          <w:p w14:paraId="55BD77C8" w14:textId="77777777" w:rsidR="00C444B4" w:rsidRDefault="00C444B4" w:rsidP="00C444B4">
            <w:pPr>
              <w:pStyle w:val="naisc"/>
              <w:tabs>
                <w:tab w:val="left" w:pos="993"/>
              </w:tabs>
              <w:jc w:val="both"/>
            </w:pPr>
            <w:r>
              <w:t>1) zvērināts revidents vai zvērinātu revidentu komercsabiedrība ir sniegusi revidenta ziņojumu par:</w:t>
            </w:r>
          </w:p>
          <w:p w14:paraId="60A91822" w14:textId="77777777" w:rsidR="00C444B4" w:rsidRDefault="00C444B4" w:rsidP="00C444B4">
            <w:pPr>
              <w:pStyle w:val="naisc"/>
              <w:tabs>
                <w:tab w:val="left" w:pos="993"/>
              </w:tabs>
              <w:jc w:val="both"/>
            </w:pPr>
            <w:r>
              <w:t xml:space="preserve">a. finanšu pārskatu kā vienota kopuma atbilstību starptautisko finanšu pārskatu standartu prasībām; vai </w:t>
            </w:r>
          </w:p>
          <w:p w14:paraId="520FC072" w14:textId="77777777" w:rsidR="00C444B4" w:rsidRPr="00E95442" w:rsidRDefault="00C444B4" w:rsidP="00C444B4">
            <w:pPr>
              <w:pStyle w:val="naisc"/>
              <w:tabs>
                <w:tab w:val="left" w:pos="993"/>
              </w:tabs>
              <w:jc w:val="both"/>
            </w:pPr>
            <w:r>
              <w:t xml:space="preserve">b. finanšu pārskatu atbilstību Gada pārskatu un konsolidēto gada pārskatu likuma prasībām un nodokļu maksātāja finanšu pārskatos tiek norādīta atkāpe no Gada pārskatu un konsolidēto gada pārskatu likuma, debitoru parādu atzīšanai, novērtēšanai un norādīšanai izmantot SFPS Nr.9 </w:t>
            </w:r>
            <w:r w:rsidRPr="00E95442">
              <w:t xml:space="preserve">prasības; vai </w:t>
            </w:r>
          </w:p>
          <w:p w14:paraId="4156A510" w14:textId="77777777" w:rsidR="00C444B4" w:rsidRPr="00EF0A2C" w:rsidRDefault="00C444B4" w:rsidP="00C444B4">
            <w:pPr>
              <w:pStyle w:val="NormalWeb"/>
              <w:spacing w:before="120" w:after="120"/>
              <w:ind w:firstLine="0"/>
              <w:rPr>
                <w:b/>
                <w:lang w:val="lv-LV"/>
              </w:rPr>
            </w:pPr>
            <w:r w:rsidRPr="00E95442">
              <w:rPr>
                <w:lang w:val="lv-LV"/>
              </w:rPr>
              <w:t xml:space="preserve">c. periodā par debitoru parādiem, kas veidojušies no 2018. gada 1. janvāra līdz 2020. gada 31. decembrim, ja gada pārskatā šā punkta b. apakšpunktā atkāpe nav iekļauta, zvērināta revidenta apliecinājumus (vai arī alternatīva - nodokļu maksātāja paša apliecinājums, ja nākamajos pārskata periodos šāda atkāpe tiek iekļauta zvērināta </w:t>
            </w:r>
            <w:r w:rsidRPr="00E95442">
              <w:rPr>
                <w:lang w:val="lv-LV"/>
              </w:rPr>
              <w:lastRenderedPageBreak/>
              <w:t>revidenta finanšu pārskatos) par SFPS Nr.9 piemērošanu debitoru parādu atzīšanai, novērtēšanai un norādīšanai šajā pārejas periodā. 2. nodokļa maksātājs nodrošina katra uzkrājumos (kredītzaudējumos) iekļautā debitora parāda izsekojamību; 3. nodokļa maksātājam ir izveidota debitoru parādu (finanšu aktīvu) atzīšanas, atgūšanas un norakstīšanas (aktīva atzīšanas pārtraukšanas) grāmatvedības uzskaites kārtība.</w:t>
            </w:r>
          </w:p>
        </w:tc>
        <w:tc>
          <w:tcPr>
            <w:tcW w:w="3686" w:type="dxa"/>
          </w:tcPr>
          <w:p w14:paraId="340733E0" w14:textId="77777777" w:rsidR="00C444B4" w:rsidRDefault="00C444B4" w:rsidP="003D6EFD">
            <w:pPr>
              <w:spacing w:before="120" w:after="120"/>
              <w:ind w:right="28"/>
              <w:rPr>
                <w:rFonts w:eastAsia="Times New Roman"/>
                <w:b/>
                <w:bCs/>
                <w:sz w:val="24"/>
                <w:szCs w:val="24"/>
                <w:lang w:eastAsia="lv-LV"/>
              </w:rPr>
            </w:pPr>
            <w:r>
              <w:rPr>
                <w:rFonts w:eastAsia="Times New Roman"/>
                <w:b/>
                <w:bCs/>
                <w:sz w:val="24"/>
                <w:szCs w:val="24"/>
                <w:lang w:eastAsia="lv-LV"/>
              </w:rPr>
              <w:lastRenderedPageBreak/>
              <w:t>Panākta vienošanās starpinstitūciju sanāksmē</w:t>
            </w:r>
          </w:p>
          <w:p w14:paraId="135DE2C8" w14:textId="77777777" w:rsidR="00C444B4" w:rsidRPr="005955DF" w:rsidRDefault="00C444B4" w:rsidP="00C444B4">
            <w:pPr>
              <w:spacing w:before="120" w:after="120"/>
              <w:ind w:right="28"/>
              <w:jc w:val="both"/>
              <w:rPr>
                <w:rFonts w:eastAsia="Times New Roman"/>
                <w:b/>
                <w:sz w:val="24"/>
                <w:szCs w:val="24"/>
                <w:lang w:eastAsia="lv-LV"/>
              </w:rPr>
            </w:pPr>
          </w:p>
        </w:tc>
        <w:tc>
          <w:tcPr>
            <w:tcW w:w="3402" w:type="dxa"/>
          </w:tcPr>
          <w:p w14:paraId="13D1D44C" w14:textId="77777777" w:rsidR="00C444B4" w:rsidRPr="001D562C" w:rsidRDefault="00647C0D" w:rsidP="00C444B4">
            <w:pPr>
              <w:contextualSpacing/>
              <w:jc w:val="both"/>
              <w:rPr>
                <w:sz w:val="24"/>
                <w:szCs w:val="24"/>
              </w:rPr>
            </w:pPr>
            <w:r w:rsidRPr="00647C0D">
              <w:rPr>
                <w:sz w:val="24"/>
                <w:szCs w:val="24"/>
              </w:rPr>
              <w:t>Likuma 9.panta septītā daļa</w:t>
            </w:r>
            <w:r w:rsidR="00C444B4" w:rsidRPr="001D562C">
              <w:rPr>
                <w:sz w:val="24"/>
                <w:szCs w:val="24"/>
              </w:rPr>
              <w:t xml:space="preserve">: </w:t>
            </w:r>
          </w:p>
          <w:p w14:paraId="73CA1F94" w14:textId="77777777" w:rsidR="00C444B4" w:rsidRPr="001D562C" w:rsidRDefault="00C444B4" w:rsidP="00C444B4">
            <w:pPr>
              <w:contextualSpacing/>
              <w:jc w:val="both"/>
              <w:rPr>
                <w:sz w:val="24"/>
                <w:szCs w:val="24"/>
              </w:rPr>
            </w:pPr>
            <w:r w:rsidRPr="001D562C">
              <w:rPr>
                <w:sz w:val="24"/>
                <w:szCs w:val="24"/>
              </w:rPr>
              <w:t>“(7) Šā panta pirmās daļas 1.punktu nepiemēro debitoru parādu summai, kurai izveidots uzkrājums nedrošajiem parādiem atbilstoši Starptautiskajam Finanšu pārskatu standartam Nr.9 "Finanšu instrumenti", ja vienlaikus ievērotas šādas prasības:</w:t>
            </w:r>
          </w:p>
          <w:p w14:paraId="2C2A64E8" w14:textId="77777777" w:rsidR="00C444B4" w:rsidRPr="001D562C" w:rsidRDefault="00C444B4" w:rsidP="00C444B4">
            <w:pPr>
              <w:contextualSpacing/>
              <w:jc w:val="both"/>
              <w:rPr>
                <w:sz w:val="24"/>
                <w:szCs w:val="24"/>
              </w:rPr>
            </w:pPr>
            <w:r w:rsidRPr="001D562C">
              <w:rPr>
                <w:sz w:val="24"/>
                <w:szCs w:val="24"/>
              </w:rPr>
              <w:t>1)</w:t>
            </w:r>
            <w:r w:rsidRPr="001D562C">
              <w:rPr>
                <w:sz w:val="24"/>
                <w:szCs w:val="24"/>
              </w:rPr>
              <w:tab/>
              <w:t>zvērināts revidents vai zvērinātu revidentu komercsabiedrība ir sniegusi revidenta ziņojumu par:</w:t>
            </w:r>
          </w:p>
          <w:p w14:paraId="716DE0BC" w14:textId="77777777" w:rsidR="00C444B4" w:rsidRPr="001D562C" w:rsidRDefault="00C444B4" w:rsidP="00C444B4">
            <w:pPr>
              <w:contextualSpacing/>
              <w:jc w:val="both"/>
              <w:rPr>
                <w:sz w:val="24"/>
                <w:szCs w:val="24"/>
              </w:rPr>
            </w:pPr>
            <w:r w:rsidRPr="001D562C">
              <w:rPr>
                <w:sz w:val="24"/>
                <w:szCs w:val="24"/>
              </w:rPr>
              <w:t>a)</w:t>
            </w:r>
            <w:r w:rsidRPr="001D562C">
              <w:rPr>
                <w:sz w:val="24"/>
                <w:szCs w:val="24"/>
              </w:rPr>
              <w:tab/>
              <w:t xml:space="preserve">finanšu pārskatu kā vienota kopuma atbilstību Starptautisko Finanšu pārskatu </w:t>
            </w:r>
            <w:r w:rsidRPr="001D562C">
              <w:rPr>
                <w:sz w:val="24"/>
                <w:szCs w:val="24"/>
              </w:rPr>
              <w:lastRenderedPageBreak/>
              <w:t>standartu prasībām; vai</w:t>
            </w:r>
          </w:p>
          <w:p w14:paraId="1F537EF1" w14:textId="77777777" w:rsidR="00C444B4" w:rsidRPr="001D562C" w:rsidRDefault="00C444B4" w:rsidP="00C444B4">
            <w:pPr>
              <w:contextualSpacing/>
              <w:jc w:val="both"/>
              <w:rPr>
                <w:sz w:val="24"/>
                <w:szCs w:val="24"/>
              </w:rPr>
            </w:pPr>
            <w:r w:rsidRPr="001D562C">
              <w:rPr>
                <w:sz w:val="24"/>
                <w:szCs w:val="24"/>
              </w:rPr>
              <w:t>b)</w:t>
            </w:r>
            <w:r w:rsidRPr="001D562C">
              <w:rPr>
                <w:sz w:val="24"/>
                <w:szCs w:val="24"/>
              </w:rPr>
              <w:tab/>
              <w:t xml:space="preserve">finanšu pārskatu atbilstību Gada pārskatu un konsolidēto gada pārskatu likuma prasībām un nodokļu maksātāja finanšu pārskatos tiek norādīta atkāpe no Gada pārskatu un konsolidēto gada pārskatu likuma, debitoru parādu atzīšanai, novērtēšanai un norādīšanai izmantot </w:t>
            </w:r>
            <w:r w:rsidRPr="00A92190">
              <w:rPr>
                <w:sz w:val="24"/>
                <w:szCs w:val="24"/>
              </w:rPr>
              <w:t xml:space="preserve">Starptautiskajam Finanšu pārskatu standarta </w:t>
            </w:r>
            <w:r w:rsidRPr="001D562C">
              <w:rPr>
                <w:sz w:val="24"/>
                <w:szCs w:val="24"/>
              </w:rPr>
              <w:t>Nr.9 prasības;</w:t>
            </w:r>
          </w:p>
          <w:p w14:paraId="613993BA" w14:textId="77777777" w:rsidR="00C444B4" w:rsidRPr="001D562C" w:rsidRDefault="00C444B4" w:rsidP="00C444B4">
            <w:pPr>
              <w:contextualSpacing/>
              <w:jc w:val="both"/>
              <w:rPr>
                <w:sz w:val="24"/>
                <w:szCs w:val="24"/>
              </w:rPr>
            </w:pPr>
            <w:r w:rsidRPr="001D562C">
              <w:rPr>
                <w:sz w:val="24"/>
                <w:szCs w:val="24"/>
              </w:rPr>
              <w:t>2)</w:t>
            </w:r>
            <w:r w:rsidRPr="001D562C">
              <w:rPr>
                <w:sz w:val="24"/>
                <w:szCs w:val="24"/>
              </w:rPr>
              <w:tab/>
              <w:t>nodokļa maksātājs nodrošina katra uzkrājumos (kredītzaudējumos) iekļautā debitora parāda izsekojamību;</w:t>
            </w:r>
          </w:p>
          <w:p w14:paraId="78E53EE7" w14:textId="77777777" w:rsidR="00C444B4" w:rsidRPr="00926E58" w:rsidRDefault="00C444B4" w:rsidP="00C444B4">
            <w:pPr>
              <w:jc w:val="both"/>
              <w:rPr>
                <w:sz w:val="24"/>
                <w:szCs w:val="24"/>
              </w:rPr>
            </w:pPr>
            <w:r w:rsidRPr="001D562C">
              <w:rPr>
                <w:sz w:val="24"/>
                <w:szCs w:val="24"/>
              </w:rPr>
              <w:t>3)</w:t>
            </w:r>
            <w:r w:rsidRPr="001D562C">
              <w:rPr>
                <w:sz w:val="24"/>
                <w:szCs w:val="24"/>
              </w:rPr>
              <w:tab/>
              <w:t>nodokļa maksātājam ir izveidota debitoru parādu (finanšu aktīvu) atzīšanas, atgūšanas un aktīva atzīšanas pārtraukšanas (norakstīšanas) grāmatvedības uzskaites kārtība.</w:t>
            </w:r>
          </w:p>
        </w:tc>
      </w:tr>
      <w:tr w:rsidR="00C444B4" w:rsidRPr="003D697F" w14:paraId="656B6E2F" w14:textId="77777777" w:rsidTr="00655E25">
        <w:tc>
          <w:tcPr>
            <w:tcW w:w="675" w:type="dxa"/>
          </w:tcPr>
          <w:p w14:paraId="77F1DDE3" w14:textId="77777777" w:rsidR="00C444B4"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lastRenderedPageBreak/>
              <w:t>5.</w:t>
            </w:r>
          </w:p>
        </w:tc>
        <w:tc>
          <w:tcPr>
            <w:tcW w:w="3544" w:type="dxa"/>
          </w:tcPr>
          <w:p w14:paraId="14DA480D" w14:textId="77777777" w:rsidR="00C444B4" w:rsidRDefault="00C444B4" w:rsidP="00C444B4">
            <w:pPr>
              <w:contextualSpacing/>
              <w:jc w:val="both"/>
              <w:rPr>
                <w:sz w:val="24"/>
                <w:szCs w:val="24"/>
              </w:rPr>
            </w:pPr>
            <w:r>
              <w:rPr>
                <w:sz w:val="24"/>
                <w:szCs w:val="24"/>
              </w:rPr>
              <w:t>Pārejas noteikumu 45.punkts.</w:t>
            </w:r>
          </w:p>
          <w:p w14:paraId="150AD47F" w14:textId="77777777" w:rsidR="00C444B4" w:rsidRPr="004C3C8C" w:rsidRDefault="00C444B4" w:rsidP="00C444B4">
            <w:pPr>
              <w:contextualSpacing/>
              <w:jc w:val="both"/>
              <w:rPr>
                <w:sz w:val="24"/>
                <w:szCs w:val="24"/>
              </w:rPr>
            </w:pPr>
            <w:r>
              <w:rPr>
                <w:sz w:val="24"/>
                <w:szCs w:val="24"/>
              </w:rPr>
              <w:t xml:space="preserve">45. </w:t>
            </w:r>
            <w:r w:rsidRPr="007D6077">
              <w:rPr>
                <w:sz w:val="24"/>
                <w:szCs w:val="24"/>
              </w:rPr>
              <w:t>Šā likuma 9.panta pirmās daļas 3.punkts un 9.panta septītā un astotā daļa piemērojama debitoru parādiem, par kuriem izveidoti uzkrājumi (kredītzaudējumi) sākot ar 2018.gada 1.janvāri.”.</w:t>
            </w:r>
          </w:p>
        </w:tc>
        <w:tc>
          <w:tcPr>
            <w:tcW w:w="3827" w:type="dxa"/>
          </w:tcPr>
          <w:p w14:paraId="5B86C156" w14:textId="77777777" w:rsidR="00C444B4" w:rsidRPr="004C3C8C" w:rsidRDefault="00C444B4" w:rsidP="00C444B4">
            <w:pPr>
              <w:pStyle w:val="naisc"/>
              <w:tabs>
                <w:tab w:val="left" w:pos="993"/>
              </w:tabs>
              <w:jc w:val="both"/>
              <w:rPr>
                <w:b/>
              </w:rPr>
            </w:pPr>
            <w:r w:rsidRPr="004C3C8C">
              <w:rPr>
                <w:b/>
              </w:rPr>
              <w:t>Tieslietu ministrija</w:t>
            </w:r>
          </w:p>
          <w:p w14:paraId="5BB3D8BB" w14:textId="77777777" w:rsidR="00C444B4" w:rsidRDefault="00C444B4" w:rsidP="00C444B4">
            <w:pPr>
              <w:pStyle w:val="naisc"/>
              <w:tabs>
                <w:tab w:val="left" w:pos="993"/>
              </w:tabs>
              <w:jc w:val="both"/>
            </w:pPr>
            <w:r>
              <w:t>Uzņēmumu ienākuma nodokļa likuma spēkā esošajā redakcijā jau ir pārejas noteikumu 45. punkts. Ievērojot minēto, lūdzam atbilstoši precizēt projektu.</w:t>
            </w:r>
          </w:p>
          <w:p w14:paraId="1D8E6BA2" w14:textId="77777777" w:rsidR="00C444B4" w:rsidRPr="007D7D5A" w:rsidRDefault="00C444B4" w:rsidP="00C444B4">
            <w:pPr>
              <w:pStyle w:val="naisc"/>
              <w:tabs>
                <w:tab w:val="left" w:pos="993"/>
              </w:tabs>
              <w:jc w:val="both"/>
              <w:rPr>
                <w:b/>
              </w:rPr>
            </w:pPr>
          </w:p>
        </w:tc>
        <w:tc>
          <w:tcPr>
            <w:tcW w:w="3686" w:type="dxa"/>
          </w:tcPr>
          <w:p w14:paraId="7BC3D654" w14:textId="77777777" w:rsidR="00C444B4" w:rsidRDefault="00C444B4" w:rsidP="00C444B4">
            <w:pPr>
              <w:spacing w:before="120" w:after="120"/>
              <w:ind w:right="28"/>
              <w:jc w:val="both"/>
              <w:rPr>
                <w:rFonts w:eastAsia="Times New Roman"/>
                <w:b/>
                <w:sz w:val="24"/>
                <w:szCs w:val="24"/>
                <w:lang w:eastAsia="lv-LV"/>
              </w:rPr>
            </w:pPr>
            <w:r>
              <w:rPr>
                <w:rFonts w:eastAsia="Times New Roman"/>
                <w:b/>
                <w:sz w:val="24"/>
                <w:szCs w:val="24"/>
                <w:lang w:eastAsia="lv-LV"/>
              </w:rPr>
              <w:t>Ņemts vērā</w:t>
            </w:r>
          </w:p>
          <w:p w14:paraId="2302425D" w14:textId="77777777" w:rsidR="00C444B4" w:rsidRPr="00DD37ED" w:rsidRDefault="00C444B4" w:rsidP="00C444B4">
            <w:pPr>
              <w:spacing w:before="120" w:after="120"/>
              <w:ind w:right="28"/>
              <w:jc w:val="both"/>
              <w:rPr>
                <w:rFonts w:eastAsia="Times New Roman"/>
                <w:sz w:val="24"/>
                <w:szCs w:val="24"/>
                <w:lang w:eastAsia="lv-LV"/>
              </w:rPr>
            </w:pPr>
          </w:p>
        </w:tc>
        <w:tc>
          <w:tcPr>
            <w:tcW w:w="3402" w:type="dxa"/>
          </w:tcPr>
          <w:p w14:paraId="28B8A85A" w14:textId="77777777" w:rsidR="00C444B4" w:rsidRDefault="00C444B4" w:rsidP="00C444B4">
            <w:pPr>
              <w:contextualSpacing/>
              <w:jc w:val="both"/>
              <w:rPr>
                <w:sz w:val="24"/>
                <w:szCs w:val="24"/>
              </w:rPr>
            </w:pPr>
            <w:r>
              <w:rPr>
                <w:sz w:val="24"/>
                <w:szCs w:val="24"/>
              </w:rPr>
              <w:t>Pārejas noteikumu 47.punkts:</w:t>
            </w:r>
          </w:p>
          <w:p w14:paraId="4F1F51DF" w14:textId="77777777" w:rsidR="00C444B4" w:rsidRDefault="00C444B4" w:rsidP="00C444B4">
            <w:pPr>
              <w:contextualSpacing/>
              <w:jc w:val="both"/>
              <w:rPr>
                <w:sz w:val="24"/>
                <w:szCs w:val="24"/>
              </w:rPr>
            </w:pPr>
            <w:r>
              <w:rPr>
                <w:sz w:val="24"/>
                <w:szCs w:val="24"/>
              </w:rPr>
              <w:t xml:space="preserve">“47. </w:t>
            </w:r>
            <w:r w:rsidRPr="007D6077">
              <w:rPr>
                <w:sz w:val="24"/>
                <w:szCs w:val="24"/>
              </w:rPr>
              <w:t>Šā likuma 9.panta pirmās daļas 3.punkts un 9.panta septītā un astotā daļa piemērojama debitoru parādiem, par kuriem izveidoti uzkrājumi (kredītzaudējumi) sākot ar 2018.gada 1.janvāri.”.</w:t>
            </w:r>
          </w:p>
          <w:p w14:paraId="7F94B54B" w14:textId="77777777" w:rsidR="00C444B4" w:rsidRDefault="00C444B4" w:rsidP="00C444B4">
            <w:pPr>
              <w:contextualSpacing/>
              <w:jc w:val="both"/>
              <w:rPr>
                <w:sz w:val="24"/>
                <w:szCs w:val="24"/>
              </w:rPr>
            </w:pPr>
          </w:p>
          <w:p w14:paraId="06FC03EC" w14:textId="77777777" w:rsidR="00C444B4" w:rsidRDefault="00C444B4" w:rsidP="00C444B4">
            <w:pPr>
              <w:contextualSpacing/>
              <w:jc w:val="both"/>
              <w:rPr>
                <w:sz w:val="24"/>
                <w:szCs w:val="24"/>
              </w:rPr>
            </w:pPr>
          </w:p>
          <w:p w14:paraId="0D2F2A03" w14:textId="77777777" w:rsidR="00C444B4" w:rsidRPr="004C3C8C" w:rsidRDefault="00C444B4" w:rsidP="00C444B4">
            <w:pPr>
              <w:contextualSpacing/>
              <w:jc w:val="both"/>
              <w:rPr>
                <w:sz w:val="24"/>
                <w:szCs w:val="24"/>
              </w:rPr>
            </w:pPr>
          </w:p>
        </w:tc>
      </w:tr>
      <w:tr w:rsidR="00C444B4" w:rsidRPr="003D697F" w14:paraId="72B7CBF5" w14:textId="77777777" w:rsidTr="00655E25">
        <w:tc>
          <w:tcPr>
            <w:tcW w:w="675" w:type="dxa"/>
          </w:tcPr>
          <w:p w14:paraId="656EEAA5" w14:textId="77777777" w:rsidR="00C444B4"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t>6.</w:t>
            </w:r>
          </w:p>
        </w:tc>
        <w:tc>
          <w:tcPr>
            <w:tcW w:w="3544" w:type="dxa"/>
          </w:tcPr>
          <w:p w14:paraId="6B2CB985" w14:textId="77777777" w:rsidR="00C444B4" w:rsidRPr="004C3C8C" w:rsidRDefault="00C444B4" w:rsidP="00C444B4">
            <w:pPr>
              <w:contextualSpacing/>
              <w:jc w:val="both"/>
              <w:rPr>
                <w:sz w:val="24"/>
                <w:szCs w:val="24"/>
              </w:rPr>
            </w:pPr>
          </w:p>
        </w:tc>
        <w:tc>
          <w:tcPr>
            <w:tcW w:w="3827" w:type="dxa"/>
          </w:tcPr>
          <w:p w14:paraId="2DD60DA4" w14:textId="77777777" w:rsidR="00C444B4" w:rsidRDefault="00C444B4" w:rsidP="00C444B4">
            <w:pPr>
              <w:rPr>
                <w:rFonts w:eastAsia="Times New Roman"/>
                <w:b/>
                <w:bCs/>
                <w:sz w:val="24"/>
                <w:szCs w:val="24"/>
                <w:lang w:eastAsia="lv-LV"/>
              </w:rPr>
            </w:pPr>
            <w:r>
              <w:rPr>
                <w:rFonts w:eastAsia="Times New Roman"/>
                <w:b/>
                <w:bCs/>
                <w:sz w:val="24"/>
                <w:szCs w:val="24"/>
                <w:lang w:eastAsia="lv-LV"/>
              </w:rPr>
              <w:t>Nevalstisko organizāciju izteiktais priekšlikums</w:t>
            </w:r>
          </w:p>
          <w:p w14:paraId="07D61CD5" w14:textId="77777777" w:rsidR="00C444B4" w:rsidRDefault="00C444B4" w:rsidP="00C444B4">
            <w:pPr>
              <w:rPr>
                <w:rFonts w:eastAsia="Times New Roman"/>
                <w:b/>
                <w:bCs/>
                <w:sz w:val="24"/>
                <w:szCs w:val="24"/>
                <w:lang w:eastAsia="lv-LV"/>
              </w:rPr>
            </w:pPr>
          </w:p>
          <w:p w14:paraId="3C1CB919" w14:textId="77777777" w:rsidR="00C444B4" w:rsidRPr="00652B72" w:rsidRDefault="00C444B4" w:rsidP="00C444B4">
            <w:pPr>
              <w:contextualSpacing/>
              <w:jc w:val="both"/>
              <w:rPr>
                <w:rFonts w:eastAsia="Times New Roman"/>
                <w:b/>
                <w:bCs/>
                <w:sz w:val="24"/>
                <w:szCs w:val="24"/>
                <w:lang w:eastAsia="lv-LV"/>
              </w:rPr>
            </w:pPr>
            <w:r>
              <w:rPr>
                <w:rFonts w:eastAsia="Times New Roman"/>
                <w:iCs/>
                <w:sz w:val="24"/>
                <w:szCs w:val="24"/>
                <w:lang w:eastAsia="lv-LV"/>
              </w:rPr>
              <w:t xml:space="preserve">Ņemot vērā, ka Likuma 10.panta trešajā daļā ietvertas stingrākas prasības attiecībā uz procentu maksājumiem, salīdzinot ar  </w:t>
            </w:r>
            <w:r w:rsidRPr="009445D7">
              <w:rPr>
                <w:rFonts w:eastAsia="Times New Roman"/>
                <w:iCs/>
                <w:sz w:val="24"/>
                <w:szCs w:val="24"/>
                <w:lang w:eastAsia="lv-LV"/>
              </w:rPr>
              <w:t xml:space="preserve">Padomes direktīvā (ES)2016/1164 (2016.gada 12.jūlijs), ar ko paredz </w:t>
            </w:r>
            <w:r w:rsidRPr="009445D7">
              <w:rPr>
                <w:rFonts w:eastAsia="Times New Roman"/>
                <w:iCs/>
                <w:sz w:val="24"/>
                <w:szCs w:val="24"/>
                <w:lang w:eastAsia="lv-LV"/>
              </w:rPr>
              <w:lastRenderedPageBreak/>
              <w:t>noteikumus tādas nodokļu apiešanas prakses novēršanai, kas tieši iespaido iekšējā tirgus darbību, lai ierobežotu nodokļu maksātāju iespējas atskaitīt pārsniedzošās aizņēmumu izmaksas, ietvert</w:t>
            </w:r>
            <w:r>
              <w:rPr>
                <w:rFonts w:eastAsia="Times New Roman"/>
                <w:iCs/>
                <w:sz w:val="24"/>
                <w:szCs w:val="24"/>
                <w:lang w:eastAsia="lv-LV"/>
              </w:rPr>
              <w:t xml:space="preserve">ajām </w:t>
            </w:r>
            <w:r w:rsidRPr="009445D7">
              <w:rPr>
                <w:rFonts w:eastAsia="Times New Roman"/>
                <w:iCs/>
                <w:sz w:val="24"/>
                <w:szCs w:val="24"/>
                <w:lang w:eastAsia="lv-LV"/>
              </w:rPr>
              <w:t>minimāl</w:t>
            </w:r>
            <w:r>
              <w:rPr>
                <w:rFonts w:eastAsia="Times New Roman"/>
                <w:iCs/>
                <w:sz w:val="24"/>
                <w:szCs w:val="24"/>
                <w:lang w:eastAsia="lv-LV"/>
              </w:rPr>
              <w:t>ajām</w:t>
            </w:r>
            <w:r w:rsidRPr="009445D7">
              <w:rPr>
                <w:rFonts w:eastAsia="Times New Roman"/>
                <w:iCs/>
                <w:sz w:val="24"/>
                <w:szCs w:val="24"/>
                <w:lang w:eastAsia="lv-LV"/>
              </w:rPr>
              <w:t xml:space="preserve"> prasīb</w:t>
            </w:r>
            <w:r>
              <w:rPr>
                <w:rFonts w:eastAsia="Times New Roman"/>
                <w:iCs/>
                <w:sz w:val="24"/>
                <w:szCs w:val="24"/>
                <w:lang w:eastAsia="lv-LV"/>
              </w:rPr>
              <w:t xml:space="preserve">ām, izskatīt iespēju </w:t>
            </w:r>
            <w:r w:rsidRPr="009445D7">
              <w:rPr>
                <w:rFonts w:eastAsia="Times New Roman"/>
                <w:iCs/>
                <w:sz w:val="24"/>
                <w:szCs w:val="24"/>
                <w:lang w:eastAsia="lv-LV"/>
              </w:rPr>
              <w:t>pieļaujamo procentu apmēru</w:t>
            </w:r>
            <w:r>
              <w:rPr>
                <w:rFonts w:eastAsia="Times New Roman"/>
                <w:iCs/>
                <w:sz w:val="24"/>
                <w:szCs w:val="24"/>
                <w:lang w:eastAsia="lv-LV"/>
              </w:rPr>
              <w:t xml:space="preserve"> noteikt kā starpību starp </w:t>
            </w:r>
            <w:r w:rsidRPr="009445D7">
              <w:rPr>
                <w:rFonts w:eastAsia="Times New Roman"/>
                <w:iCs/>
                <w:sz w:val="24"/>
                <w:szCs w:val="24"/>
                <w:lang w:eastAsia="lv-LV"/>
              </w:rPr>
              <w:t xml:space="preserve"> procentu </w:t>
            </w:r>
            <w:r>
              <w:rPr>
                <w:rFonts w:eastAsia="Times New Roman"/>
                <w:iCs/>
                <w:sz w:val="24"/>
                <w:szCs w:val="24"/>
                <w:lang w:eastAsia="lv-LV"/>
              </w:rPr>
              <w:t xml:space="preserve">ieņēmumiem un procentu </w:t>
            </w:r>
            <w:r w:rsidRPr="009445D7">
              <w:rPr>
                <w:rFonts w:eastAsia="Times New Roman"/>
                <w:iCs/>
                <w:sz w:val="24"/>
                <w:szCs w:val="24"/>
                <w:lang w:eastAsia="lv-LV"/>
              </w:rPr>
              <w:t>izdevum</w:t>
            </w:r>
            <w:r>
              <w:rPr>
                <w:rFonts w:eastAsia="Times New Roman"/>
                <w:iCs/>
                <w:sz w:val="24"/>
                <w:szCs w:val="24"/>
                <w:lang w:eastAsia="lv-LV"/>
              </w:rPr>
              <w:t>iem</w:t>
            </w:r>
            <w:r w:rsidRPr="009445D7">
              <w:rPr>
                <w:rFonts w:eastAsia="Times New Roman"/>
                <w:iCs/>
                <w:sz w:val="24"/>
                <w:szCs w:val="24"/>
                <w:lang w:eastAsia="lv-LV"/>
              </w:rPr>
              <w:t xml:space="preserve">. </w:t>
            </w:r>
          </w:p>
          <w:p w14:paraId="34F5C3E2" w14:textId="77777777" w:rsidR="00C444B4" w:rsidRPr="004C3C8C" w:rsidRDefault="00C444B4" w:rsidP="00C444B4">
            <w:pPr>
              <w:pStyle w:val="naisc"/>
              <w:tabs>
                <w:tab w:val="left" w:pos="993"/>
              </w:tabs>
              <w:jc w:val="both"/>
              <w:rPr>
                <w:b/>
              </w:rPr>
            </w:pPr>
          </w:p>
        </w:tc>
        <w:tc>
          <w:tcPr>
            <w:tcW w:w="3686" w:type="dxa"/>
          </w:tcPr>
          <w:p w14:paraId="536879BC" w14:textId="77777777" w:rsidR="00C444B4" w:rsidRPr="004C3C8C" w:rsidRDefault="00C444B4" w:rsidP="00C444B4">
            <w:pPr>
              <w:spacing w:before="120" w:after="120"/>
              <w:ind w:right="28"/>
              <w:jc w:val="both"/>
              <w:rPr>
                <w:rFonts w:eastAsia="Times New Roman"/>
                <w:b/>
                <w:sz w:val="24"/>
                <w:szCs w:val="24"/>
                <w:lang w:eastAsia="lv-LV"/>
              </w:rPr>
            </w:pPr>
            <w:r>
              <w:rPr>
                <w:rFonts w:eastAsia="Times New Roman"/>
                <w:b/>
                <w:bCs/>
                <w:sz w:val="24"/>
                <w:szCs w:val="24"/>
                <w:lang w:eastAsia="lv-LV"/>
              </w:rPr>
              <w:lastRenderedPageBreak/>
              <w:t xml:space="preserve">Ņemts vērā </w:t>
            </w:r>
          </w:p>
        </w:tc>
        <w:tc>
          <w:tcPr>
            <w:tcW w:w="3402" w:type="dxa"/>
          </w:tcPr>
          <w:p w14:paraId="6A1309D2" w14:textId="77777777" w:rsidR="00C444B4" w:rsidRPr="00BF786A" w:rsidRDefault="00C444B4" w:rsidP="00C444B4">
            <w:pPr>
              <w:pStyle w:val="paragraph"/>
              <w:spacing w:before="120" w:after="120"/>
              <w:jc w:val="both"/>
              <w:textAlignment w:val="baseline"/>
              <w:rPr>
                <w:rStyle w:val="eop"/>
                <w:lang w:val="lv-LV"/>
              </w:rPr>
            </w:pPr>
            <w:r w:rsidRPr="00BF786A">
              <w:rPr>
                <w:rStyle w:val="eop"/>
                <w:lang w:val="lv-LV"/>
              </w:rPr>
              <w:t>Likuma 10.pantā:</w:t>
            </w:r>
          </w:p>
          <w:p w14:paraId="776CA609" w14:textId="77777777" w:rsidR="00C444B4" w:rsidRPr="00BF786A" w:rsidRDefault="00C444B4" w:rsidP="00C444B4">
            <w:pPr>
              <w:pStyle w:val="paragraph"/>
              <w:spacing w:before="120" w:after="120"/>
              <w:jc w:val="both"/>
              <w:textAlignment w:val="baseline"/>
              <w:rPr>
                <w:lang w:val="lv-LV"/>
              </w:rPr>
            </w:pPr>
            <w:r w:rsidRPr="00BF786A">
              <w:rPr>
                <w:lang w:val="lv-LV"/>
              </w:rPr>
              <w:t>aizstāt trešajā daļā vārdus “ja procentu izmaksas” ar vārdiem “ja starpība starp procentu ieņēmumiem un procentu izmaksām”;</w:t>
            </w:r>
          </w:p>
          <w:p w14:paraId="1E2AA4ED" w14:textId="77777777" w:rsidR="00C444B4" w:rsidRPr="00BF786A" w:rsidRDefault="00C444B4" w:rsidP="00C444B4">
            <w:pPr>
              <w:pStyle w:val="paragraph"/>
              <w:tabs>
                <w:tab w:val="left" w:pos="1134"/>
              </w:tabs>
              <w:spacing w:before="120" w:beforeAutospacing="0" w:after="120" w:afterAutospacing="0"/>
              <w:jc w:val="both"/>
              <w:textAlignment w:val="baseline"/>
              <w:rPr>
                <w:lang w:val="lv-LV"/>
              </w:rPr>
            </w:pPr>
            <w:r w:rsidRPr="00BF786A">
              <w:rPr>
                <w:lang w:val="lv-LV"/>
              </w:rPr>
              <w:t xml:space="preserve">3. </w:t>
            </w:r>
            <w:r w:rsidR="00647C0D" w:rsidRPr="00647C0D">
              <w:rPr>
                <w:lang w:val="lv-LV"/>
              </w:rPr>
              <w:t xml:space="preserve">Papildināt Pārejas noteikumus </w:t>
            </w:r>
            <w:r w:rsidR="00647C0D" w:rsidRPr="00647C0D">
              <w:rPr>
                <w:lang w:val="lv-LV"/>
              </w:rPr>
              <w:lastRenderedPageBreak/>
              <w:t xml:space="preserve">ar </w:t>
            </w:r>
            <w:r w:rsidRPr="00BF786A">
              <w:rPr>
                <w:lang w:val="lv-LV"/>
              </w:rPr>
              <w:t>48. punkt</w:t>
            </w:r>
            <w:r w:rsidR="00647C0D">
              <w:rPr>
                <w:lang w:val="lv-LV"/>
              </w:rPr>
              <w:t>u šādā redakcijā:</w:t>
            </w:r>
            <w:r w:rsidRPr="00BF786A">
              <w:rPr>
                <w:lang w:val="lv-LV"/>
              </w:rPr>
              <w:t xml:space="preserve"> </w:t>
            </w:r>
          </w:p>
          <w:p w14:paraId="6505E319" w14:textId="77777777" w:rsidR="00C444B4" w:rsidRPr="00BF786A" w:rsidRDefault="00C444B4" w:rsidP="00C444B4">
            <w:pPr>
              <w:pStyle w:val="paragraph"/>
              <w:spacing w:before="0" w:beforeAutospacing="0" w:after="0" w:afterAutospacing="0"/>
              <w:jc w:val="both"/>
              <w:textAlignment w:val="baseline"/>
              <w:rPr>
                <w:lang w:val="lv-LV"/>
              </w:rPr>
            </w:pPr>
            <w:r w:rsidRPr="00BF786A">
              <w:rPr>
                <w:lang w:val="lv-LV"/>
              </w:rPr>
              <w:t>“4</w:t>
            </w:r>
            <w:r>
              <w:rPr>
                <w:lang w:val="lv-LV"/>
              </w:rPr>
              <w:t>8</w:t>
            </w:r>
            <w:r w:rsidRPr="00BF786A">
              <w:rPr>
                <w:lang w:val="lv-LV"/>
              </w:rPr>
              <w:t>. Grozījums šā likuma 10.panta trešajā daļā piemērojams  sākot ar pārskata gadu, kas sākās 2021.gadā.”</w:t>
            </w:r>
          </w:p>
          <w:p w14:paraId="2DE62F78" w14:textId="77777777" w:rsidR="00C444B4" w:rsidRPr="00BE6A0D" w:rsidRDefault="00C444B4" w:rsidP="00C444B4">
            <w:pPr>
              <w:contextualSpacing/>
              <w:jc w:val="both"/>
              <w:rPr>
                <w:sz w:val="24"/>
                <w:szCs w:val="24"/>
              </w:rPr>
            </w:pPr>
          </w:p>
        </w:tc>
      </w:tr>
      <w:tr w:rsidR="00C444B4" w:rsidRPr="003D697F" w14:paraId="37EC4ADC" w14:textId="77777777" w:rsidTr="00655E25">
        <w:tc>
          <w:tcPr>
            <w:tcW w:w="675" w:type="dxa"/>
          </w:tcPr>
          <w:p w14:paraId="10186D25" w14:textId="77777777" w:rsidR="00C444B4" w:rsidRDefault="00C444B4" w:rsidP="00C444B4">
            <w:pPr>
              <w:spacing w:before="100" w:beforeAutospacing="1" w:after="100" w:afterAutospacing="1"/>
              <w:rPr>
                <w:rFonts w:eastAsia="Times New Roman"/>
                <w:sz w:val="24"/>
                <w:szCs w:val="24"/>
                <w:lang w:eastAsia="lv-LV"/>
              </w:rPr>
            </w:pPr>
            <w:r>
              <w:rPr>
                <w:rFonts w:eastAsia="Times New Roman"/>
                <w:sz w:val="24"/>
                <w:szCs w:val="24"/>
                <w:lang w:eastAsia="lv-LV"/>
              </w:rPr>
              <w:lastRenderedPageBreak/>
              <w:t>7.</w:t>
            </w:r>
          </w:p>
        </w:tc>
        <w:tc>
          <w:tcPr>
            <w:tcW w:w="3544" w:type="dxa"/>
          </w:tcPr>
          <w:p w14:paraId="141FD0BA" w14:textId="77777777" w:rsidR="00C444B4" w:rsidRDefault="00C444B4" w:rsidP="00C444B4">
            <w:pPr>
              <w:contextualSpacing/>
              <w:jc w:val="both"/>
              <w:rPr>
                <w:sz w:val="24"/>
                <w:szCs w:val="24"/>
              </w:rPr>
            </w:pPr>
          </w:p>
        </w:tc>
        <w:tc>
          <w:tcPr>
            <w:tcW w:w="3827" w:type="dxa"/>
          </w:tcPr>
          <w:p w14:paraId="23973076" w14:textId="77777777" w:rsidR="00C444B4" w:rsidRDefault="00C444B4" w:rsidP="00C444B4">
            <w:pPr>
              <w:rPr>
                <w:rFonts w:eastAsia="Times New Roman"/>
                <w:b/>
                <w:bCs/>
                <w:sz w:val="24"/>
                <w:szCs w:val="24"/>
                <w:lang w:eastAsia="lv-LV"/>
              </w:rPr>
            </w:pPr>
            <w:r>
              <w:rPr>
                <w:rFonts w:eastAsia="Times New Roman"/>
                <w:b/>
                <w:bCs/>
                <w:sz w:val="24"/>
                <w:szCs w:val="24"/>
                <w:lang w:eastAsia="lv-LV"/>
              </w:rPr>
              <w:t>Starpinstitūciju sanāksmē izteiktais priekšlikums</w:t>
            </w:r>
          </w:p>
          <w:p w14:paraId="7A2ADDE1" w14:textId="77777777" w:rsidR="00C444B4" w:rsidRDefault="00C444B4" w:rsidP="00C444B4">
            <w:pPr>
              <w:rPr>
                <w:rFonts w:eastAsia="Times New Roman"/>
                <w:b/>
                <w:bCs/>
                <w:sz w:val="24"/>
                <w:szCs w:val="24"/>
                <w:lang w:eastAsia="lv-LV"/>
              </w:rPr>
            </w:pPr>
          </w:p>
          <w:p w14:paraId="598EF7B9" w14:textId="77777777" w:rsidR="00C444B4" w:rsidRPr="009445D7" w:rsidRDefault="00C444B4" w:rsidP="00C444B4">
            <w:pPr>
              <w:jc w:val="both"/>
              <w:rPr>
                <w:rFonts w:eastAsia="Times New Roman"/>
                <w:bCs/>
                <w:sz w:val="24"/>
                <w:szCs w:val="24"/>
                <w:lang w:eastAsia="lv-LV"/>
              </w:rPr>
            </w:pPr>
            <w:r w:rsidRPr="009445D7">
              <w:rPr>
                <w:rFonts w:eastAsia="Times New Roman"/>
                <w:bCs/>
                <w:sz w:val="24"/>
                <w:szCs w:val="24"/>
                <w:lang w:eastAsia="lv-LV"/>
              </w:rPr>
              <w:t>Lai novērstu situāciju, ka operatīvās nomas maksājumiem, kuri grāmatvedības uzskaitē iegrāmatoti atbilstoši SFPS Nr.16, arī turpmāk tiek piemērotas Likuma 10.panta normas, Likumprojektā nepieciešams  ietvert normas, kas paredz, ka nodokļu maksātāji, kuri piemēro SFPS Nr.16, ir tiesīgi Likuma 10. panta noteikto procentu aprēķinā neietvert procentus, kas aprēķināti saskaņā ar iepriekšminēto standartu, ja nomas darījums atbilst Ministru kabineta noteikumu Nr. 775 “Gada pārskatu un konsolidēto gada pārskatu likuma piemērošanas noteikumi” 11. nodaļā definētajai operatīvajai nomai.</w:t>
            </w:r>
          </w:p>
          <w:p w14:paraId="5CC25F21" w14:textId="77777777" w:rsidR="00C444B4" w:rsidRDefault="00C444B4" w:rsidP="00C444B4">
            <w:pPr>
              <w:jc w:val="both"/>
              <w:rPr>
                <w:rFonts w:eastAsia="Times New Roman"/>
                <w:b/>
                <w:bCs/>
                <w:sz w:val="24"/>
                <w:szCs w:val="24"/>
                <w:lang w:eastAsia="lv-LV"/>
              </w:rPr>
            </w:pPr>
          </w:p>
        </w:tc>
        <w:tc>
          <w:tcPr>
            <w:tcW w:w="3686" w:type="dxa"/>
          </w:tcPr>
          <w:p w14:paraId="27C8568C" w14:textId="77777777" w:rsidR="00C444B4" w:rsidRDefault="00C444B4" w:rsidP="00C444B4">
            <w:pPr>
              <w:spacing w:before="120" w:after="120"/>
              <w:ind w:right="28"/>
              <w:rPr>
                <w:rFonts w:eastAsia="Times New Roman"/>
                <w:b/>
                <w:bCs/>
                <w:sz w:val="24"/>
                <w:szCs w:val="24"/>
                <w:lang w:eastAsia="lv-LV"/>
              </w:rPr>
            </w:pPr>
            <w:r>
              <w:rPr>
                <w:rFonts w:eastAsia="Times New Roman"/>
                <w:b/>
                <w:bCs/>
                <w:sz w:val="24"/>
                <w:szCs w:val="24"/>
                <w:lang w:eastAsia="lv-LV"/>
              </w:rPr>
              <w:t>Ņemts vērā</w:t>
            </w:r>
          </w:p>
        </w:tc>
        <w:tc>
          <w:tcPr>
            <w:tcW w:w="3402" w:type="dxa"/>
          </w:tcPr>
          <w:p w14:paraId="4BACFF5E" w14:textId="77777777" w:rsidR="00C444B4" w:rsidRDefault="00C444B4" w:rsidP="00C444B4">
            <w:pPr>
              <w:pStyle w:val="paragraph"/>
              <w:spacing w:before="120" w:after="120"/>
              <w:jc w:val="both"/>
              <w:textAlignment w:val="baseline"/>
              <w:rPr>
                <w:lang w:val="lv-LV"/>
              </w:rPr>
            </w:pPr>
            <w:r>
              <w:rPr>
                <w:lang w:val="lv-LV"/>
              </w:rPr>
              <w:t>Likuma 10.pantā:</w:t>
            </w:r>
          </w:p>
          <w:p w14:paraId="46CD9011" w14:textId="77777777" w:rsidR="00C444B4" w:rsidRDefault="00C444B4" w:rsidP="00C444B4">
            <w:pPr>
              <w:pStyle w:val="paragraph"/>
              <w:spacing w:before="120" w:after="120"/>
              <w:jc w:val="both"/>
              <w:textAlignment w:val="baseline"/>
              <w:rPr>
                <w:lang w:val="lv-LV"/>
              </w:rPr>
            </w:pPr>
            <w:r w:rsidRPr="00DB07F3">
              <w:rPr>
                <w:lang w:val="lv-LV"/>
              </w:rPr>
              <w:t>papildināt ar sesto daļu šādā redakcijā:</w:t>
            </w:r>
          </w:p>
          <w:p w14:paraId="571CAAA0" w14:textId="77777777" w:rsidR="00C444B4" w:rsidRPr="00DB07F3" w:rsidRDefault="00C444B4" w:rsidP="00C444B4">
            <w:pPr>
              <w:pStyle w:val="paragraph"/>
              <w:spacing w:before="120" w:after="120"/>
              <w:jc w:val="both"/>
              <w:textAlignment w:val="baseline"/>
              <w:rPr>
                <w:lang w:val="lv-LV"/>
              </w:rPr>
            </w:pPr>
            <w:r w:rsidRPr="00BC13EA">
              <w:rPr>
                <w:lang w:val="lv-LV"/>
              </w:rPr>
              <w:t>“(6) Šā panta pirmo un otro daļu nepiemēro aplēstajiem procentiem par operatīvo nomu, kas grāmatvedībā iegrāmatoti saskaņā ar Starptautisko Finanšu sagatavošanas standartu prasībām, ja atbilstoši Latvijas grāmatvedības normatīvajiem aktiem attiecīgais nomas darījums atbilst operatīvajai nomai.”</w:t>
            </w:r>
          </w:p>
          <w:p w14:paraId="01CA9CC9" w14:textId="77777777" w:rsidR="00C444B4" w:rsidRDefault="00C444B4" w:rsidP="00C444B4">
            <w:pPr>
              <w:pStyle w:val="paragraph"/>
              <w:spacing w:before="120" w:after="120"/>
              <w:jc w:val="both"/>
              <w:textAlignment w:val="baseline"/>
              <w:rPr>
                <w:lang w:val="lv-LV"/>
              </w:rPr>
            </w:pPr>
            <w:r w:rsidRPr="009445D7">
              <w:rPr>
                <w:lang w:val="lv-LV"/>
              </w:rPr>
              <w:t xml:space="preserve">Papildināt Pārejas noteikumus ar </w:t>
            </w:r>
            <w:r>
              <w:rPr>
                <w:lang w:val="lv-LV"/>
              </w:rPr>
              <w:t>50.</w:t>
            </w:r>
            <w:r w:rsidRPr="009445D7">
              <w:rPr>
                <w:lang w:val="lv-LV"/>
              </w:rPr>
              <w:t>punktu šādā redakcijā:</w:t>
            </w:r>
          </w:p>
          <w:p w14:paraId="54ED8AA2" w14:textId="77777777" w:rsidR="00C444B4" w:rsidRPr="00DB07F3" w:rsidRDefault="00C444B4" w:rsidP="00C444B4">
            <w:pPr>
              <w:pStyle w:val="paragraph"/>
              <w:spacing w:before="120" w:after="120"/>
              <w:jc w:val="both"/>
              <w:textAlignment w:val="baseline"/>
              <w:rPr>
                <w:rStyle w:val="eop"/>
                <w:lang w:val="lv-LV"/>
              </w:rPr>
            </w:pPr>
            <w:r>
              <w:rPr>
                <w:lang w:val="lv-LV"/>
              </w:rPr>
              <w:t>“50</w:t>
            </w:r>
            <w:r w:rsidRPr="00BF786A">
              <w:rPr>
                <w:lang w:val="lv-LV"/>
              </w:rPr>
              <w:t xml:space="preserve">. Šā likuma 10.panta sestā </w:t>
            </w:r>
            <w:r w:rsidRPr="00BF786A">
              <w:rPr>
                <w:lang w:val="lv-LV"/>
              </w:rPr>
              <w:lastRenderedPageBreak/>
              <w:t>daļa piemērojama procentiem, kas aplēsti sākot ar pārskata gadu, kas sākās 2021.gadā.”</w:t>
            </w:r>
          </w:p>
        </w:tc>
      </w:tr>
      <w:tr w:rsidR="00C444B4" w:rsidRPr="003D697F" w14:paraId="3C2F8801" w14:textId="77777777" w:rsidTr="00655E25">
        <w:tc>
          <w:tcPr>
            <w:tcW w:w="675" w:type="dxa"/>
          </w:tcPr>
          <w:p w14:paraId="7F00BAE0" w14:textId="77777777" w:rsidR="00C444B4"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lastRenderedPageBreak/>
              <w:t>8.</w:t>
            </w:r>
          </w:p>
        </w:tc>
        <w:tc>
          <w:tcPr>
            <w:tcW w:w="3544" w:type="dxa"/>
          </w:tcPr>
          <w:p w14:paraId="5A0E2539" w14:textId="77777777" w:rsidR="00C444B4" w:rsidRDefault="00C444B4" w:rsidP="00C444B4">
            <w:pPr>
              <w:contextualSpacing/>
              <w:jc w:val="both"/>
              <w:rPr>
                <w:sz w:val="24"/>
                <w:szCs w:val="24"/>
              </w:rPr>
            </w:pPr>
          </w:p>
        </w:tc>
        <w:tc>
          <w:tcPr>
            <w:tcW w:w="3827" w:type="dxa"/>
          </w:tcPr>
          <w:p w14:paraId="6BB6F3AA" w14:textId="77777777" w:rsidR="00C444B4" w:rsidRPr="002670CC" w:rsidRDefault="00C444B4" w:rsidP="00C444B4">
            <w:pPr>
              <w:pStyle w:val="naisc"/>
              <w:tabs>
                <w:tab w:val="left" w:pos="993"/>
              </w:tabs>
              <w:jc w:val="both"/>
              <w:rPr>
                <w:b/>
              </w:rPr>
            </w:pPr>
            <w:r w:rsidRPr="002670CC">
              <w:rPr>
                <w:b/>
              </w:rPr>
              <w:t>Tieslietu ministrija</w:t>
            </w:r>
          </w:p>
          <w:p w14:paraId="64AEB98A" w14:textId="77777777" w:rsidR="00C444B4" w:rsidRPr="004C3C8C" w:rsidRDefault="00C444B4" w:rsidP="00C444B4">
            <w:pPr>
              <w:pStyle w:val="naisc"/>
              <w:tabs>
                <w:tab w:val="left" w:pos="993"/>
              </w:tabs>
              <w:jc w:val="both"/>
              <w:rPr>
                <w:b/>
              </w:rPr>
            </w:pPr>
            <w:r>
              <w:t xml:space="preserve">Uzņēmumu ienākuma nodokļa likuma pārejas noteikumu 45. punktam projekta 1. pantā izteiktais Uzņēmumu ienākuma nodokļa likuma 9. panta pirmās daļas 3. punkts, kas paredz paplašināt ar uzņēmumu ienākuma nodokli apliekamo bāzi, tiks piemērots ar atpakaļejošu spēku. Saskaņā ar Oficiālo publikāciju un tiesiskās informācijas likuma 9. panta ceturto daļu normatīvajam aktam vai tā daļai nav atpakaļejoša spēka, izņemot likumā īpaši paredzētus gadījumus. Lai arī starptautiskais finanšu pārskata standarts Nr. 9 Latvijas tiesību aktos tika pārņemts ar 2018. gada 1. janvāri, tas nenozīmē, ka ar minētā standarta pārņemšanas brīdi ienākumi būtu jāapliek ar uzņēmumu ienākuma nodokli. </w:t>
            </w:r>
            <w:r w:rsidRPr="00760AA1">
              <w:t>Lūdzam papildināt anotāciju ar izvērstāku skaidrojumu un atbilstošu pamatojumu projektā ietvertā regulējuma piemērošanai ar atpakaļejošu spēku</w:t>
            </w:r>
          </w:p>
        </w:tc>
        <w:tc>
          <w:tcPr>
            <w:tcW w:w="3686" w:type="dxa"/>
          </w:tcPr>
          <w:p w14:paraId="1E10DBD8" w14:textId="77777777" w:rsidR="00C444B4" w:rsidRPr="002670CC" w:rsidRDefault="00C444B4" w:rsidP="00C444B4">
            <w:pPr>
              <w:spacing w:before="120" w:after="120"/>
              <w:ind w:right="28"/>
              <w:jc w:val="both"/>
              <w:rPr>
                <w:rFonts w:eastAsia="Times New Roman"/>
                <w:b/>
                <w:bCs/>
                <w:sz w:val="24"/>
                <w:szCs w:val="24"/>
                <w:lang w:eastAsia="lv-LV"/>
              </w:rPr>
            </w:pPr>
            <w:r w:rsidRPr="002670CC">
              <w:rPr>
                <w:rFonts w:eastAsia="Times New Roman"/>
                <w:b/>
                <w:bCs/>
                <w:sz w:val="24"/>
                <w:szCs w:val="24"/>
                <w:lang w:eastAsia="lv-LV"/>
              </w:rPr>
              <w:t>Ņemts vērā</w:t>
            </w:r>
          </w:p>
          <w:p w14:paraId="07CEB8DA" w14:textId="77777777" w:rsidR="00C444B4" w:rsidRDefault="00C444B4" w:rsidP="00C444B4">
            <w:pPr>
              <w:spacing w:before="120" w:after="120"/>
              <w:ind w:right="28"/>
              <w:jc w:val="both"/>
              <w:rPr>
                <w:rFonts w:eastAsia="Times New Roman"/>
                <w:b/>
                <w:sz w:val="24"/>
                <w:szCs w:val="24"/>
                <w:lang w:eastAsia="lv-LV"/>
              </w:rPr>
            </w:pPr>
            <w:r w:rsidRPr="00BC13EA">
              <w:rPr>
                <w:rFonts w:eastAsia="Times New Roman"/>
                <w:sz w:val="24"/>
                <w:szCs w:val="24"/>
                <w:highlight w:val="lightGray"/>
                <w:lang w:eastAsia="lv-LV"/>
              </w:rPr>
              <w:t xml:space="preserve"> </w:t>
            </w:r>
          </w:p>
        </w:tc>
        <w:tc>
          <w:tcPr>
            <w:tcW w:w="3402" w:type="dxa"/>
          </w:tcPr>
          <w:p w14:paraId="20962C55" w14:textId="77777777" w:rsidR="00C444B4" w:rsidRDefault="00C444B4" w:rsidP="00C444B4">
            <w:pPr>
              <w:contextualSpacing/>
              <w:jc w:val="both"/>
              <w:rPr>
                <w:sz w:val="24"/>
                <w:szCs w:val="24"/>
              </w:rPr>
            </w:pPr>
            <w:r w:rsidRPr="008C475D">
              <w:rPr>
                <w:sz w:val="24"/>
                <w:szCs w:val="24"/>
              </w:rPr>
              <w:t>Papildināta anotācija ar detalizētāku skaidrojumu par UIN piemērošanu uzkrājumiem, kas izveidoti sākot ar 2018.gada 1.janvāri (skat. anotāciju).</w:t>
            </w:r>
          </w:p>
        </w:tc>
      </w:tr>
      <w:tr w:rsidR="00C444B4" w:rsidRPr="004C3C8C" w14:paraId="1897008A" w14:textId="77777777" w:rsidTr="00655E25">
        <w:tc>
          <w:tcPr>
            <w:tcW w:w="675" w:type="dxa"/>
          </w:tcPr>
          <w:p w14:paraId="06816103" w14:textId="77777777" w:rsidR="00C444B4" w:rsidRPr="00760AA1"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t>9.</w:t>
            </w:r>
            <w:r w:rsidRPr="00760AA1">
              <w:rPr>
                <w:rFonts w:eastAsia="Times New Roman"/>
                <w:sz w:val="24"/>
                <w:szCs w:val="24"/>
                <w:lang w:eastAsia="lv-LV"/>
              </w:rPr>
              <w:t xml:space="preserve"> </w:t>
            </w:r>
          </w:p>
        </w:tc>
        <w:tc>
          <w:tcPr>
            <w:tcW w:w="3544" w:type="dxa"/>
          </w:tcPr>
          <w:p w14:paraId="2C7370FB" w14:textId="77777777" w:rsidR="00C444B4" w:rsidRPr="004C3C8C" w:rsidRDefault="00C444B4" w:rsidP="00C444B4">
            <w:pPr>
              <w:contextualSpacing/>
              <w:jc w:val="both"/>
              <w:rPr>
                <w:sz w:val="24"/>
                <w:szCs w:val="24"/>
              </w:rPr>
            </w:pPr>
          </w:p>
        </w:tc>
        <w:tc>
          <w:tcPr>
            <w:tcW w:w="3827" w:type="dxa"/>
          </w:tcPr>
          <w:p w14:paraId="63C20C32" w14:textId="77777777" w:rsidR="00C444B4" w:rsidRPr="004C3C8C" w:rsidRDefault="00C444B4" w:rsidP="00C444B4">
            <w:pPr>
              <w:pStyle w:val="naisc"/>
              <w:tabs>
                <w:tab w:val="left" w:pos="993"/>
              </w:tabs>
              <w:jc w:val="both"/>
              <w:rPr>
                <w:b/>
              </w:rPr>
            </w:pPr>
            <w:r w:rsidRPr="004C3C8C">
              <w:rPr>
                <w:b/>
              </w:rPr>
              <w:t>Valsts kanceleja</w:t>
            </w:r>
          </w:p>
          <w:p w14:paraId="265AD127" w14:textId="77777777" w:rsidR="00C444B4" w:rsidRPr="004C3C8C" w:rsidRDefault="00C444B4" w:rsidP="00C444B4">
            <w:pPr>
              <w:pStyle w:val="naisc"/>
              <w:tabs>
                <w:tab w:val="left" w:pos="993"/>
              </w:tabs>
              <w:jc w:val="both"/>
            </w:pPr>
            <w:r w:rsidRPr="004C3C8C">
              <w:lastRenderedPageBreak/>
              <w:t xml:space="preserve">Aicinām </w:t>
            </w:r>
            <w:r w:rsidRPr="00E81BCD">
              <w:t xml:space="preserve">papildināt </w:t>
            </w:r>
            <w:r w:rsidRPr="00655E25">
              <w:t>I. sadaļas 2.punktu</w:t>
            </w:r>
            <w:r w:rsidRPr="00E81BCD">
              <w:t xml:space="preserve"> ar skaidru problēmu</w:t>
            </w:r>
            <w:r w:rsidRPr="004C3C8C">
              <w:t xml:space="preserve"> aprakstu, kuru risināšanai ir izstrādāts tiesību akta projekts. Šim problēmu aprakstam būtu nepārprotami jāapliecina, ka esošais regulējums tik tiešām ir jāprecizē, kādas sekas iestāsies, ja projekts netiks pieņemts.</w:t>
            </w:r>
          </w:p>
          <w:p w14:paraId="051689BB" w14:textId="77777777" w:rsidR="00C444B4" w:rsidRPr="004C3C8C" w:rsidRDefault="00C444B4" w:rsidP="00C444B4">
            <w:pPr>
              <w:pStyle w:val="naisc"/>
              <w:tabs>
                <w:tab w:val="left" w:pos="993"/>
              </w:tabs>
              <w:jc w:val="both"/>
            </w:pPr>
            <w:r w:rsidRPr="004C3C8C">
              <w:t xml:space="preserve">    </w:t>
            </w:r>
          </w:p>
          <w:p w14:paraId="4CAE8620" w14:textId="77777777" w:rsidR="00C444B4" w:rsidRPr="004C3C8C" w:rsidRDefault="00C444B4" w:rsidP="00C444B4">
            <w:pPr>
              <w:pStyle w:val="naisc"/>
              <w:tabs>
                <w:tab w:val="left" w:pos="993"/>
              </w:tabs>
              <w:jc w:val="both"/>
            </w:pPr>
          </w:p>
        </w:tc>
        <w:tc>
          <w:tcPr>
            <w:tcW w:w="3686" w:type="dxa"/>
          </w:tcPr>
          <w:p w14:paraId="5E5C667F" w14:textId="77777777" w:rsidR="00C444B4" w:rsidRPr="00760AA1" w:rsidRDefault="00C444B4" w:rsidP="00C444B4">
            <w:pPr>
              <w:spacing w:before="120" w:after="120"/>
              <w:ind w:right="28"/>
              <w:jc w:val="both"/>
              <w:rPr>
                <w:rFonts w:eastAsia="Times New Roman"/>
                <w:b/>
                <w:sz w:val="24"/>
                <w:szCs w:val="24"/>
                <w:lang w:eastAsia="lv-LV"/>
              </w:rPr>
            </w:pPr>
            <w:r w:rsidRPr="004C3C8C">
              <w:rPr>
                <w:rFonts w:eastAsia="Times New Roman"/>
                <w:b/>
                <w:sz w:val="24"/>
                <w:szCs w:val="24"/>
                <w:lang w:eastAsia="lv-LV"/>
              </w:rPr>
              <w:lastRenderedPageBreak/>
              <w:t xml:space="preserve">Ņemts vērā </w:t>
            </w:r>
          </w:p>
        </w:tc>
        <w:tc>
          <w:tcPr>
            <w:tcW w:w="3402" w:type="dxa"/>
          </w:tcPr>
          <w:p w14:paraId="19D4ED0E" w14:textId="77777777" w:rsidR="00C444B4" w:rsidRPr="00760AA1" w:rsidRDefault="00C444B4" w:rsidP="00C444B4">
            <w:pPr>
              <w:contextualSpacing/>
              <w:jc w:val="both"/>
              <w:rPr>
                <w:sz w:val="24"/>
                <w:szCs w:val="24"/>
              </w:rPr>
            </w:pPr>
            <w:r w:rsidRPr="00BE6A0D">
              <w:rPr>
                <w:sz w:val="24"/>
                <w:szCs w:val="24"/>
              </w:rPr>
              <w:t>Papildināta anotācija (skat. anotāciju).</w:t>
            </w:r>
          </w:p>
        </w:tc>
      </w:tr>
      <w:tr w:rsidR="00C444B4" w:rsidRPr="004C3C8C" w14:paraId="00BC0E1E" w14:textId="77777777" w:rsidTr="00655E25">
        <w:tc>
          <w:tcPr>
            <w:tcW w:w="675" w:type="dxa"/>
          </w:tcPr>
          <w:p w14:paraId="73FC686D" w14:textId="77777777" w:rsidR="00C444B4" w:rsidRPr="004C3C8C"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t xml:space="preserve">10. </w:t>
            </w:r>
          </w:p>
        </w:tc>
        <w:tc>
          <w:tcPr>
            <w:tcW w:w="3544" w:type="dxa"/>
          </w:tcPr>
          <w:p w14:paraId="353F0393" w14:textId="77777777" w:rsidR="00C444B4" w:rsidRPr="004C3C8C" w:rsidRDefault="00C444B4" w:rsidP="00C444B4">
            <w:pPr>
              <w:contextualSpacing/>
              <w:jc w:val="both"/>
              <w:rPr>
                <w:sz w:val="24"/>
                <w:szCs w:val="24"/>
              </w:rPr>
            </w:pPr>
          </w:p>
        </w:tc>
        <w:tc>
          <w:tcPr>
            <w:tcW w:w="3827" w:type="dxa"/>
          </w:tcPr>
          <w:p w14:paraId="4D79007C" w14:textId="77777777" w:rsidR="00C444B4" w:rsidRPr="002670CC" w:rsidRDefault="00C444B4" w:rsidP="00C444B4">
            <w:pPr>
              <w:pStyle w:val="naisc"/>
              <w:tabs>
                <w:tab w:val="left" w:pos="993"/>
              </w:tabs>
              <w:jc w:val="both"/>
              <w:rPr>
                <w:b/>
              </w:rPr>
            </w:pPr>
            <w:r w:rsidRPr="002670CC">
              <w:rPr>
                <w:b/>
              </w:rPr>
              <w:t>Valsts kanceleja</w:t>
            </w:r>
          </w:p>
          <w:p w14:paraId="361465F8" w14:textId="77777777" w:rsidR="00C444B4" w:rsidRPr="004C3C8C" w:rsidRDefault="00C444B4" w:rsidP="00C444B4">
            <w:pPr>
              <w:pStyle w:val="naisc"/>
              <w:tabs>
                <w:tab w:val="left" w:pos="993"/>
              </w:tabs>
              <w:jc w:val="both"/>
            </w:pPr>
            <w:r w:rsidRPr="004C3C8C">
              <w:t>Labākai izpratnei aicinām precizēt</w:t>
            </w:r>
            <w:r>
              <w:t xml:space="preserve"> anotācijas </w:t>
            </w:r>
            <w:r w:rsidRPr="004C3C8C">
              <w:t>II. sadaļas 2. punktu, izsakot to šādā redakcijā: “Likumprojektā iekļautas normas nerada mērķgrupai papildu izmaksas un jaunu administratīvo slogu. Nodokļa maksātāju, kuri finanšu pārskatu sagatavošanai piemēro SFPS, pienākums iesniegt zvērināta revidenta ziņojumu izriet no spēkā esošā regulējumā”.</w:t>
            </w:r>
          </w:p>
          <w:p w14:paraId="4798BB87" w14:textId="77777777" w:rsidR="00C444B4" w:rsidRPr="004C3C8C" w:rsidRDefault="00C444B4" w:rsidP="00C444B4">
            <w:pPr>
              <w:pStyle w:val="naisc"/>
              <w:tabs>
                <w:tab w:val="left" w:pos="993"/>
              </w:tabs>
              <w:jc w:val="both"/>
            </w:pPr>
          </w:p>
        </w:tc>
        <w:tc>
          <w:tcPr>
            <w:tcW w:w="3686" w:type="dxa"/>
          </w:tcPr>
          <w:p w14:paraId="495EFB1D" w14:textId="77777777" w:rsidR="00C444B4" w:rsidRPr="00655E25" w:rsidRDefault="00C444B4" w:rsidP="00C444B4">
            <w:pPr>
              <w:spacing w:before="120" w:after="120"/>
              <w:ind w:right="28"/>
              <w:jc w:val="both"/>
              <w:rPr>
                <w:rFonts w:eastAsia="Times New Roman"/>
                <w:b/>
                <w:bCs/>
                <w:sz w:val="24"/>
                <w:szCs w:val="24"/>
                <w:lang w:eastAsia="lv-LV"/>
              </w:rPr>
            </w:pPr>
            <w:r w:rsidRPr="00655E25">
              <w:rPr>
                <w:rFonts w:eastAsia="Times New Roman"/>
                <w:b/>
                <w:bCs/>
                <w:sz w:val="24"/>
                <w:szCs w:val="24"/>
                <w:lang w:eastAsia="lv-LV"/>
              </w:rPr>
              <w:t>Ņemts vērā</w:t>
            </w:r>
          </w:p>
        </w:tc>
        <w:tc>
          <w:tcPr>
            <w:tcW w:w="3402" w:type="dxa"/>
          </w:tcPr>
          <w:p w14:paraId="5BD475E7" w14:textId="77777777" w:rsidR="00C444B4" w:rsidRPr="00760AA1" w:rsidRDefault="00C444B4" w:rsidP="00C444B4">
            <w:pPr>
              <w:contextualSpacing/>
              <w:jc w:val="both"/>
              <w:rPr>
                <w:sz w:val="24"/>
                <w:szCs w:val="24"/>
              </w:rPr>
            </w:pPr>
            <w:r>
              <w:rPr>
                <w:sz w:val="24"/>
                <w:szCs w:val="24"/>
              </w:rPr>
              <w:t>Papildināta anotācija (skat. anotāciju).</w:t>
            </w:r>
          </w:p>
        </w:tc>
      </w:tr>
      <w:tr w:rsidR="00C444B4" w:rsidRPr="004C3C8C" w14:paraId="4233DF78" w14:textId="77777777" w:rsidTr="00655E25">
        <w:tc>
          <w:tcPr>
            <w:tcW w:w="675" w:type="dxa"/>
          </w:tcPr>
          <w:p w14:paraId="4976374A" w14:textId="77777777" w:rsidR="00C444B4" w:rsidRDefault="00C444B4" w:rsidP="00C444B4">
            <w:pPr>
              <w:spacing w:before="100" w:beforeAutospacing="1" w:after="100" w:afterAutospacing="1"/>
              <w:jc w:val="center"/>
              <w:rPr>
                <w:rFonts w:eastAsia="Times New Roman"/>
                <w:sz w:val="24"/>
                <w:szCs w:val="24"/>
                <w:lang w:eastAsia="lv-LV"/>
              </w:rPr>
            </w:pPr>
            <w:r>
              <w:rPr>
                <w:rFonts w:eastAsia="Times New Roman"/>
                <w:sz w:val="24"/>
                <w:szCs w:val="24"/>
                <w:lang w:eastAsia="lv-LV"/>
              </w:rPr>
              <w:t xml:space="preserve">11. </w:t>
            </w:r>
          </w:p>
        </w:tc>
        <w:tc>
          <w:tcPr>
            <w:tcW w:w="3544" w:type="dxa"/>
          </w:tcPr>
          <w:p w14:paraId="5733FA09" w14:textId="77777777" w:rsidR="00C444B4" w:rsidRPr="004C3C8C" w:rsidRDefault="00C444B4" w:rsidP="00C444B4">
            <w:pPr>
              <w:contextualSpacing/>
              <w:jc w:val="both"/>
              <w:rPr>
                <w:sz w:val="24"/>
                <w:szCs w:val="24"/>
              </w:rPr>
            </w:pPr>
          </w:p>
        </w:tc>
        <w:tc>
          <w:tcPr>
            <w:tcW w:w="3827" w:type="dxa"/>
          </w:tcPr>
          <w:p w14:paraId="000BFCA5" w14:textId="77777777" w:rsidR="00C444B4" w:rsidRPr="002670CC" w:rsidRDefault="00C444B4" w:rsidP="00C444B4">
            <w:pPr>
              <w:pStyle w:val="naisc"/>
              <w:tabs>
                <w:tab w:val="left" w:pos="993"/>
              </w:tabs>
              <w:jc w:val="both"/>
              <w:rPr>
                <w:b/>
              </w:rPr>
            </w:pPr>
            <w:r w:rsidRPr="002670CC">
              <w:rPr>
                <w:b/>
              </w:rPr>
              <w:t>Valsts kanceleja</w:t>
            </w:r>
          </w:p>
          <w:p w14:paraId="66E80375" w14:textId="77777777" w:rsidR="00C444B4" w:rsidRPr="00CF0A8D" w:rsidRDefault="00C444B4" w:rsidP="00C444B4">
            <w:pPr>
              <w:pStyle w:val="naisc"/>
              <w:tabs>
                <w:tab w:val="left" w:pos="993"/>
              </w:tabs>
              <w:jc w:val="both"/>
              <w:rPr>
                <w:b/>
              </w:rPr>
            </w:pPr>
            <w:r w:rsidRPr="004C3C8C">
              <w:t>Ņemot vērā, ka likumprojekta mē</w:t>
            </w:r>
            <w:r>
              <w:t>rķ</w:t>
            </w:r>
            <w:r w:rsidRPr="004C3C8C">
              <w:t xml:space="preserve">grupa ir visi UIN maksātāji, būtu vēlams saskaņot projektu ar </w:t>
            </w:r>
            <w:r w:rsidRPr="004C3C8C">
              <w:lastRenderedPageBreak/>
              <w:t>vadošajām uzņēmēju asociācijām - LDDK un LTRK - un iekļaut šī saskaņojuma rezultātus anotācijas VI. sadaļas 3.punktā.</w:t>
            </w:r>
          </w:p>
        </w:tc>
        <w:tc>
          <w:tcPr>
            <w:tcW w:w="3686" w:type="dxa"/>
          </w:tcPr>
          <w:p w14:paraId="6DD97E36" w14:textId="77777777" w:rsidR="00C444B4" w:rsidRPr="00655E25" w:rsidRDefault="00C444B4" w:rsidP="00C444B4">
            <w:pPr>
              <w:spacing w:before="120" w:after="120"/>
              <w:ind w:right="28"/>
              <w:jc w:val="both"/>
              <w:rPr>
                <w:rFonts w:eastAsia="Times New Roman"/>
                <w:b/>
                <w:bCs/>
                <w:sz w:val="24"/>
                <w:szCs w:val="24"/>
                <w:lang w:eastAsia="lv-LV"/>
              </w:rPr>
            </w:pPr>
            <w:r w:rsidRPr="00655E25">
              <w:rPr>
                <w:rFonts w:eastAsia="Times New Roman"/>
                <w:b/>
                <w:bCs/>
                <w:sz w:val="24"/>
                <w:szCs w:val="24"/>
                <w:lang w:eastAsia="lv-LV"/>
              </w:rPr>
              <w:lastRenderedPageBreak/>
              <w:t xml:space="preserve">Ņemts vērā </w:t>
            </w:r>
          </w:p>
          <w:p w14:paraId="4BCBDBDF" w14:textId="77777777" w:rsidR="00C444B4" w:rsidRDefault="00C444B4" w:rsidP="00C444B4">
            <w:pPr>
              <w:spacing w:before="120" w:after="120"/>
              <w:ind w:right="28"/>
              <w:jc w:val="both"/>
              <w:rPr>
                <w:rFonts w:eastAsia="Times New Roman"/>
                <w:sz w:val="24"/>
                <w:szCs w:val="24"/>
                <w:lang w:eastAsia="lv-LV"/>
              </w:rPr>
            </w:pPr>
          </w:p>
        </w:tc>
        <w:tc>
          <w:tcPr>
            <w:tcW w:w="3402" w:type="dxa"/>
          </w:tcPr>
          <w:p w14:paraId="66BED665" w14:textId="77777777" w:rsidR="00C444B4" w:rsidRDefault="00C444B4" w:rsidP="00C444B4">
            <w:pPr>
              <w:contextualSpacing/>
              <w:jc w:val="both"/>
              <w:rPr>
                <w:sz w:val="24"/>
                <w:szCs w:val="24"/>
              </w:rPr>
            </w:pPr>
            <w:r>
              <w:rPr>
                <w:sz w:val="24"/>
                <w:szCs w:val="24"/>
              </w:rPr>
              <w:t>Papildināta anotācija (skat. anotāciju).</w:t>
            </w:r>
          </w:p>
        </w:tc>
      </w:tr>
    </w:tbl>
    <w:p w14:paraId="5B10E552" w14:textId="77777777" w:rsidR="00B60224" w:rsidRDefault="00B60224" w:rsidP="00AE17F1">
      <w:pPr>
        <w:jc w:val="both"/>
        <w:rPr>
          <w:sz w:val="24"/>
          <w:szCs w:val="24"/>
        </w:rPr>
      </w:pPr>
    </w:p>
    <w:p w14:paraId="323A55C1" w14:textId="77777777" w:rsidR="00EE2C2C" w:rsidRPr="004C3C8C" w:rsidRDefault="00EE2C2C" w:rsidP="00AE17F1">
      <w:pPr>
        <w:jc w:val="both"/>
        <w:rPr>
          <w:vanish/>
          <w:sz w:val="24"/>
          <w:szCs w:val="24"/>
        </w:rPr>
      </w:pPr>
    </w:p>
    <w:p w14:paraId="02F89439" w14:textId="77777777" w:rsidR="00EE2C2C" w:rsidRDefault="00163E5F" w:rsidP="00EE2C2C">
      <w:pPr>
        <w:spacing w:before="100" w:beforeAutospacing="1"/>
        <w:ind w:left="4320" w:hanging="4320"/>
        <w:rPr>
          <w:rFonts w:eastAsia="Times New Roman"/>
          <w:sz w:val="24"/>
          <w:szCs w:val="24"/>
          <w:lang w:eastAsia="lv-LV"/>
        </w:rPr>
      </w:pPr>
      <w:r w:rsidRPr="004C3C8C">
        <w:rPr>
          <w:rFonts w:eastAsia="Times New Roman"/>
          <w:sz w:val="24"/>
          <w:szCs w:val="24"/>
          <w:lang w:eastAsia="lv-LV"/>
        </w:rPr>
        <w:t xml:space="preserve">Atbildīgā amatpersona </w:t>
      </w:r>
      <w:r w:rsidR="00EE2C2C">
        <w:rPr>
          <w:rFonts w:eastAsia="Times New Roman"/>
          <w:sz w:val="24"/>
          <w:szCs w:val="24"/>
          <w:lang w:eastAsia="lv-LV"/>
        </w:rPr>
        <w:tab/>
      </w:r>
      <w:r w:rsidR="00EE2C2C">
        <w:rPr>
          <w:rFonts w:eastAsia="Times New Roman"/>
          <w:sz w:val="24"/>
          <w:szCs w:val="24"/>
          <w:lang w:eastAsia="lv-LV"/>
        </w:rPr>
        <w:tab/>
      </w:r>
      <w:r w:rsidR="00EE2C2C" w:rsidRPr="00EE2C2C">
        <w:rPr>
          <w:rFonts w:eastAsia="Times New Roman"/>
          <w:sz w:val="24"/>
          <w:szCs w:val="24"/>
          <w:lang w:eastAsia="lv-LV"/>
        </w:rPr>
        <w:t>Ina Spridzāne</w:t>
      </w:r>
      <w:r w:rsidR="0098266F" w:rsidRPr="00EE2C2C">
        <w:rPr>
          <w:rFonts w:eastAsia="Times New Roman"/>
          <w:sz w:val="24"/>
          <w:szCs w:val="24"/>
          <w:lang w:eastAsia="lv-LV"/>
        </w:rPr>
        <w:t xml:space="preserve">, </w:t>
      </w:r>
      <w:r w:rsidR="00434705" w:rsidRPr="00EE2C2C">
        <w:rPr>
          <w:rFonts w:eastAsia="Times New Roman"/>
          <w:sz w:val="24"/>
          <w:szCs w:val="24"/>
          <w:lang w:eastAsia="lv-LV"/>
        </w:rPr>
        <w:t xml:space="preserve">vecākā eksperte, </w:t>
      </w:r>
      <w:r w:rsidR="00EE2C2C" w:rsidRPr="00EE2C2C">
        <w:rPr>
          <w:rFonts w:eastAsia="Times New Roman"/>
          <w:sz w:val="24"/>
          <w:szCs w:val="24"/>
          <w:lang w:eastAsia="lv-LV"/>
        </w:rPr>
        <w:t>ina.spridzane</w:t>
      </w:r>
      <w:r w:rsidR="0098266F" w:rsidRPr="00EE2C2C">
        <w:rPr>
          <w:rFonts w:eastAsia="Times New Roman"/>
          <w:sz w:val="24"/>
          <w:szCs w:val="24"/>
          <w:lang w:eastAsia="lv-LV"/>
        </w:rPr>
        <w:t>@fm.gov.lv</w:t>
      </w:r>
      <w:r w:rsidR="00EE2C2C">
        <w:rPr>
          <w:rFonts w:eastAsia="Times New Roman"/>
          <w:sz w:val="24"/>
          <w:szCs w:val="24"/>
          <w:lang w:eastAsia="lv-LV"/>
        </w:rPr>
        <w:t xml:space="preserve"> </w:t>
      </w:r>
    </w:p>
    <w:p w14:paraId="155B10A6" w14:textId="77777777" w:rsidR="00434705" w:rsidRPr="00EE2C2C" w:rsidRDefault="0093422E" w:rsidP="00EE2C2C">
      <w:pPr>
        <w:spacing w:before="100" w:beforeAutospacing="1"/>
        <w:ind w:left="4320" w:firstLine="720"/>
        <w:rPr>
          <w:rFonts w:eastAsia="Times New Roman"/>
          <w:sz w:val="24"/>
          <w:szCs w:val="24"/>
          <w:highlight w:val="yellow"/>
          <w:lang w:eastAsia="lv-LV"/>
        </w:rPr>
      </w:pPr>
      <w:r w:rsidRPr="00EE2C2C">
        <w:rPr>
          <w:sz w:val="24"/>
          <w:szCs w:val="24"/>
        </w:rPr>
        <w:t>Tiešo nodokļu</w:t>
      </w:r>
      <w:r w:rsidR="009B1872" w:rsidRPr="00EE2C2C">
        <w:rPr>
          <w:sz w:val="24"/>
          <w:szCs w:val="24"/>
        </w:rPr>
        <w:t xml:space="preserve"> d</w:t>
      </w:r>
      <w:r w:rsidRPr="00EE2C2C">
        <w:rPr>
          <w:sz w:val="24"/>
          <w:szCs w:val="24"/>
        </w:rPr>
        <w:t xml:space="preserve">epartamenta </w:t>
      </w:r>
      <w:r w:rsidR="0098266F" w:rsidRPr="00EE2C2C">
        <w:rPr>
          <w:rFonts w:eastAsia="Times New Roman"/>
          <w:sz w:val="24"/>
          <w:szCs w:val="24"/>
          <w:lang w:eastAsia="lv-LV"/>
        </w:rPr>
        <w:t xml:space="preserve"> </w:t>
      </w:r>
      <w:r w:rsidR="00532C01" w:rsidRPr="00EE2C2C">
        <w:rPr>
          <w:sz w:val="24"/>
          <w:szCs w:val="24"/>
        </w:rPr>
        <w:t>U</w:t>
      </w:r>
      <w:r w:rsidRPr="00EE2C2C">
        <w:rPr>
          <w:sz w:val="24"/>
          <w:szCs w:val="24"/>
        </w:rPr>
        <w:t xml:space="preserve">zņēmumu </w:t>
      </w:r>
      <w:r w:rsidR="00D614FF" w:rsidRPr="00EE2C2C">
        <w:rPr>
          <w:sz w:val="24"/>
          <w:szCs w:val="24"/>
        </w:rPr>
        <w:t xml:space="preserve">nodokļu </w:t>
      </w:r>
      <w:r w:rsidR="00434705" w:rsidRPr="00EE2C2C">
        <w:rPr>
          <w:sz w:val="24"/>
          <w:szCs w:val="24"/>
        </w:rPr>
        <w:t xml:space="preserve">un </w:t>
      </w:r>
      <w:r w:rsidRPr="00EE2C2C">
        <w:rPr>
          <w:sz w:val="24"/>
          <w:szCs w:val="24"/>
        </w:rPr>
        <w:t>starptautisko nodokļu jautājumu nodaļa</w:t>
      </w:r>
    </w:p>
    <w:p w14:paraId="619A5DC9" w14:textId="77777777" w:rsidR="00FD6618" w:rsidRPr="004C3C8C" w:rsidRDefault="00FD6618" w:rsidP="00434705">
      <w:pPr>
        <w:widowControl w:val="0"/>
        <w:tabs>
          <w:tab w:val="left" w:pos="2415"/>
        </w:tabs>
        <w:jc w:val="right"/>
        <w:rPr>
          <w:sz w:val="24"/>
          <w:szCs w:val="24"/>
        </w:rPr>
      </w:pPr>
    </w:p>
    <w:p w14:paraId="7A0CE2AD" w14:textId="77777777" w:rsidR="00FD6618" w:rsidRPr="004C3C8C" w:rsidRDefault="00FD6618" w:rsidP="00AE17F1">
      <w:pPr>
        <w:widowControl w:val="0"/>
        <w:tabs>
          <w:tab w:val="left" w:pos="2415"/>
        </w:tabs>
        <w:jc w:val="both"/>
        <w:rPr>
          <w:sz w:val="24"/>
          <w:szCs w:val="24"/>
        </w:rPr>
      </w:pPr>
    </w:p>
    <w:p w14:paraId="5B60EDF3" w14:textId="77777777" w:rsidR="003754B9" w:rsidRPr="004C3C8C" w:rsidRDefault="003754B9" w:rsidP="00AE17F1">
      <w:pPr>
        <w:jc w:val="both"/>
        <w:rPr>
          <w:sz w:val="24"/>
          <w:szCs w:val="24"/>
        </w:rPr>
      </w:pPr>
    </w:p>
    <w:p w14:paraId="30955AB8" w14:textId="77777777" w:rsidR="003754B9" w:rsidRPr="004C3C8C" w:rsidRDefault="003754B9" w:rsidP="00AE17F1">
      <w:pPr>
        <w:jc w:val="both"/>
        <w:rPr>
          <w:sz w:val="24"/>
          <w:szCs w:val="24"/>
        </w:rPr>
      </w:pPr>
    </w:p>
    <w:sectPr w:rsidR="003754B9" w:rsidRPr="004C3C8C" w:rsidSect="000C26A4">
      <w:headerReference w:type="default" r:id="rId8"/>
      <w:footerReference w:type="default" r:id="rId9"/>
      <w:footerReference w:type="first" r:id="rId10"/>
      <w:pgSz w:w="16838" w:h="11906" w:orient="landscape"/>
      <w:pgMar w:top="993" w:right="1418"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73EA9" w14:textId="77777777" w:rsidR="00A012D7" w:rsidRDefault="00A012D7" w:rsidP="00B70481">
      <w:r>
        <w:separator/>
      </w:r>
    </w:p>
  </w:endnote>
  <w:endnote w:type="continuationSeparator" w:id="0">
    <w:p w14:paraId="6F984CB2" w14:textId="77777777" w:rsidR="00A012D7" w:rsidRDefault="00A012D7" w:rsidP="00B70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2BB00" w14:textId="77777777" w:rsidR="00B847FE" w:rsidRPr="0051505A" w:rsidRDefault="0051505A" w:rsidP="0051505A">
    <w:pPr>
      <w:pStyle w:val="Footer"/>
    </w:pPr>
    <w:r>
      <w:rPr>
        <w:sz w:val="20"/>
        <w:szCs w:val="20"/>
      </w:rPr>
      <w:t>FMIzz_</w:t>
    </w:r>
    <w:r w:rsidR="00C648D2">
      <w:rPr>
        <w:sz w:val="20"/>
        <w:szCs w:val="20"/>
      </w:rPr>
      <w:t>07.09</w:t>
    </w:r>
    <w:r w:rsidR="0086113B">
      <w:rPr>
        <w:sz w:val="20"/>
        <w:szCs w:val="20"/>
      </w:rPr>
      <w:t>.</w:t>
    </w:r>
    <w:r w:rsidR="008C2194">
      <w:rPr>
        <w:sz w:val="20"/>
        <w:szCs w:val="20"/>
      </w:rPr>
      <w:t>21</w:t>
    </w:r>
    <w:r w:rsidR="008F53D2">
      <w:rPr>
        <w:sz w:val="20"/>
        <w:szCs w:val="20"/>
      </w:rPr>
      <w:t>.</w:t>
    </w:r>
    <w:r w:rsidR="00904734">
      <w:rPr>
        <w:sz w:val="20"/>
        <w:szCs w:val="20"/>
      </w:rPr>
      <w:t>UIN</w:t>
    </w:r>
    <w:r w:rsidR="008C2194">
      <w:rPr>
        <w:sz w:val="20"/>
        <w:szCs w:val="20"/>
      </w:rPr>
      <w:t>groz</w:t>
    </w:r>
    <w:r w:rsidR="008F53D2">
      <w:rPr>
        <w:sz w:val="20"/>
        <w:szCs w:val="20"/>
      </w:rPr>
      <w:t>.doc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30DDB" w14:textId="77777777" w:rsidR="00904734" w:rsidRPr="0051505A" w:rsidRDefault="00904734" w:rsidP="00904734">
    <w:pPr>
      <w:pStyle w:val="Footer"/>
    </w:pPr>
    <w:r>
      <w:rPr>
        <w:sz w:val="20"/>
        <w:szCs w:val="20"/>
      </w:rPr>
      <w:t>FMIzz_</w:t>
    </w:r>
    <w:r w:rsidR="00C648D2">
      <w:rPr>
        <w:sz w:val="20"/>
        <w:szCs w:val="20"/>
      </w:rPr>
      <w:t>07.09</w:t>
    </w:r>
    <w:r w:rsidR="0086113B">
      <w:rPr>
        <w:sz w:val="20"/>
        <w:szCs w:val="20"/>
      </w:rPr>
      <w:t>.</w:t>
    </w:r>
    <w:r w:rsidR="008F53D2">
      <w:rPr>
        <w:sz w:val="20"/>
        <w:szCs w:val="20"/>
      </w:rPr>
      <w:t>21</w:t>
    </w:r>
    <w:r w:rsidR="008F53D2">
      <w:rPr>
        <w:sz w:val="20"/>
        <w:szCs w:val="20"/>
      </w:rPr>
      <w:softHyphen/>
    </w:r>
    <w:r w:rsidR="008F53D2">
      <w:rPr>
        <w:sz w:val="20"/>
        <w:szCs w:val="20"/>
      </w:rPr>
      <w:softHyphen/>
      <w:t>.</w:t>
    </w:r>
    <w:r>
      <w:rPr>
        <w:sz w:val="20"/>
        <w:szCs w:val="20"/>
      </w:rPr>
      <w:t>UIN</w:t>
    </w:r>
    <w:r w:rsidR="008C2194">
      <w:rPr>
        <w:sz w:val="20"/>
        <w:szCs w:val="20"/>
      </w:rPr>
      <w:t>groz</w:t>
    </w:r>
    <w:r w:rsidR="008F53D2">
      <w:rPr>
        <w:sz w:val="20"/>
        <w:szCs w:val="20"/>
      </w:rPr>
      <w:t>.doc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61DB5" w14:textId="77777777" w:rsidR="00A012D7" w:rsidRDefault="00A012D7" w:rsidP="00B70481">
      <w:r>
        <w:separator/>
      </w:r>
    </w:p>
  </w:footnote>
  <w:footnote w:type="continuationSeparator" w:id="0">
    <w:p w14:paraId="380776C6" w14:textId="77777777" w:rsidR="00A012D7" w:rsidRDefault="00A012D7" w:rsidP="00B70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BCD45" w14:textId="77777777" w:rsidR="00DB07F3" w:rsidRDefault="00DB07F3">
    <w:pPr>
      <w:pStyle w:val="Header"/>
      <w:jc w:val="center"/>
    </w:pPr>
    <w:r>
      <w:fldChar w:fldCharType="begin"/>
    </w:r>
    <w:r>
      <w:instrText xml:space="preserve"> PAGE   \* MERGEFORMAT </w:instrText>
    </w:r>
    <w:r>
      <w:fldChar w:fldCharType="separate"/>
    </w:r>
    <w:r w:rsidR="008931D2">
      <w:rPr>
        <w:noProof/>
      </w:rPr>
      <w:t>1</w:t>
    </w:r>
    <w:r w:rsidR="008931D2">
      <w:rPr>
        <w:noProof/>
      </w:rPr>
      <w:t>3</w:t>
    </w:r>
    <w:r>
      <w:rPr>
        <w:noProof/>
      </w:rPr>
      <w:fldChar w:fldCharType="end"/>
    </w:r>
  </w:p>
  <w:p w14:paraId="31BE82DE" w14:textId="77777777" w:rsidR="00B847FE" w:rsidRDefault="00B84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abstractNum w:abstractNumId="0" w15:restartNumberingAfterBreak="0">
    <w:nsid w:val="03A215C4"/>
    <w:multiLevelType w:val="hybridMultilevel"/>
    <w:tmpl w:val="88FE0B0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1441C0"/>
    <w:multiLevelType w:val="hybridMultilevel"/>
    <w:tmpl w:val="ED0C9468"/>
    <w:lvl w:ilvl="0" w:tplc="944C9992">
      <w:start w:val="1"/>
      <w:numFmt w:val="decimal"/>
      <w:suff w:val="nothing"/>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7F1620"/>
    <w:multiLevelType w:val="hybridMultilevel"/>
    <w:tmpl w:val="75D024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5202E7"/>
    <w:multiLevelType w:val="hybridMultilevel"/>
    <w:tmpl w:val="4456F7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E321B0"/>
    <w:multiLevelType w:val="hybridMultilevel"/>
    <w:tmpl w:val="AC92F240"/>
    <w:lvl w:ilvl="0" w:tplc="BC3E49AC">
      <w:start w:val="1"/>
      <w:numFmt w:val="decimal"/>
      <w:lvlText w:val="%1."/>
      <w:lvlJc w:val="left"/>
      <w:pPr>
        <w:ind w:left="110" w:hanging="567"/>
      </w:pPr>
      <w:rPr>
        <w:rFonts w:ascii="Times New Roman" w:eastAsia="Times New Roman" w:hAnsi="Times New Roman" w:hint="default"/>
        <w:sz w:val="24"/>
        <w:szCs w:val="22"/>
      </w:rPr>
    </w:lvl>
    <w:lvl w:ilvl="1" w:tplc="07AEE0E0">
      <w:start w:val="1"/>
      <w:numFmt w:val="lowerLetter"/>
      <w:lvlText w:val="%2)"/>
      <w:lvlJc w:val="left"/>
      <w:pPr>
        <w:ind w:left="1243" w:hanging="567"/>
      </w:pPr>
      <w:rPr>
        <w:rFonts w:ascii="Times New Roman" w:eastAsia="Times New Roman" w:hAnsi="Times New Roman" w:hint="default"/>
        <w:sz w:val="24"/>
        <w:szCs w:val="22"/>
      </w:rPr>
    </w:lvl>
    <w:lvl w:ilvl="2" w:tplc="0EC272B8">
      <w:start w:val="1"/>
      <w:numFmt w:val="bullet"/>
      <w:lvlText w:val="•"/>
      <w:lvlJc w:val="left"/>
      <w:pPr>
        <w:ind w:left="1243" w:hanging="567"/>
      </w:pPr>
      <w:rPr>
        <w:rFonts w:hint="default"/>
      </w:rPr>
    </w:lvl>
    <w:lvl w:ilvl="3" w:tplc="66C4FFD4">
      <w:start w:val="1"/>
      <w:numFmt w:val="bullet"/>
      <w:lvlText w:val="•"/>
      <w:lvlJc w:val="left"/>
      <w:pPr>
        <w:ind w:left="2298" w:hanging="567"/>
      </w:pPr>
      <w:rPr>
        <w:rFonts w:hint="default"/>
      </w:rPr>
    </w:lvl>
    <w:lvl w:ilvl="4" w:tplc="118A1EF4">
      <w:start w:val="1"/>
      <w:numFmt w:val="bullet"/>
      <w:lvlText w:val="•"/>
      <w:lvlJc w:val="left"/>
      <w:pPr>
        <w:ind w:left="3354" w:hanging="567"/>
      </w:pPr>
      <w:rPr>
        <w:rFonts w:hint="default"/>
      </w:rPr>
    </w:lvl>
    <w:lvl w:ilvl="5" w:tplc="E26A96EC">
      <w:start w:val="1"/>
      <w:numFmt w:val="bullet"/>
      <w:lvlText w:val="•"/>
      <w:lvlJc w:val="left"/>
      <w:pPr>
        <w:ind w:left="4409" w:hanging="567"/>
      </w:pPr>
      <w:rPr>
        <w:rFonts w:hint="default"/>
      </w:rPr>
    </w:lvl>
    <w:lvl w:ilvl="6" w:tplc="698CBE4C">
      <w:start w:val="1"/>
      <w:numFmt w:val="bullet"/>
      <w:lvlText w:val="•"/>
      <w:lvlJc w:val="left"/>
      <w:pPr>
        <w:ind w:left="5464" w:hanging="567"/>
      </w:pPr>
      <w:rPr>
        <w:rFonts w:hint="default"/>
      </w:rPr>
    </w:lvl>
    <w:lvl w:ilvl="7" w:tplc="1408F62A">
      <w:start w:val="1"/>
      <w:numFmt w:val="bullet"/>
      <w:lvlText w:val="•"/>
      <w:lvlJc w:val="left"/>
      <w:pPr>
        <w:ind w:left="6520" w:hanging="567"/>
      </w:pPr>
      <w:rPr>
        <w:rFonts w:hint="default"/>
      </w:rPr>
    </w:lvl>
    <w:lvl w:ilvl="8" w:tplc="48AE8FE0">
      <w:start w:val="1"/>
      <w:numFmt w:val="bullet"/>
      <w:lvlText w:val="•"/>
      <w:lvlJc w:val="left"/>
      <w:pPr>
        <w:ind w:left="7575" w:hanging="567"/>
      </w:pPr>
      <w:rPr>
        <w:rFonts w:hint="default"/>
      </w:rPr>
    </w:lvl>
  </w:abstractNum>
  <w:abstractNum w:abstractNumId="5" w15:restartNumberingAfterBreak="0">
    <w:nsid w:val="15047C63"/>
    <w:multiLevelType w:val="hybridMultilevel"/>
    <w:tmpl w:val="A14C66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D2551F3"/>
    <w:multiLevelType w:val="hybridMultilevel"/>
    <w:tmpl w:val="48B24C90"/>
    <w:lvl w:ilvl="0" w:tplc="04260011">
      <w:start w:val="1"/>
      <w:numFmt w:val="decimal"/>
      <w:lvlText w:val="%1)"/>
      <w:lvlJc w:val="left"/>
      <w:pPr>
        <w:ind w:left="1485" w:hanging="360"/>
      </w:pPr>
    </w:lvl>
    <w:lvl w:ilvl="1" w:tplc="04260019" w:tentative="1">
      <w:start w:val="1"/>
      <w:numFmt w:val="lowerLetter"/>
      <w:lvlText w:val="%2."/>
      <w:lvlJc w:val="left"/>
      <w:pPr>
        <w:ind w:left="2205" w:hanging="360"/>
      </w:pPr>
    </w:lvl>
    <w:lvl w:ilvl="2" w:tplc="0426001B" w:tentative="1">
      <w:start w:val="1"/>
      <w:numFmt w:val="lowerRoman"/>
      <w:lvlText w:val="%3."/>
      <w:lvlJc w:val="right"/>
      <w:pPr>
        <w:ind w:left="2925" w:hanging="180"/>
      </w:pPr>
    </w:lvl>
    <w:lvl w:ilvl="3" w:tplc="0426000F" w:tentative="1">
      <w:start w:val="1"/>
      <w:numFmt w:val="decimal"/>
      <w:lvlText w:val="%4."/>
      <w:lvlJc w:val="left"/>
      <w:pPr>
        <w:ind w:left="3645" w:hanging="360"/>
      </w:pPr>
    </w:lvl>
    <w:lvl w:ilvl="4" w:tplc="04260019" w:tentative="1">
      <w:start w:val="1"/>
      <w:numFmt w:val="lowerLetter"/>
      <w:lvlText w:val="%5."/>
      <w:lvlJc w:val="left"/>
      <w:pPr>
        <w:ind w:left="4365" w:hanging="360"/>
      </w:pPr>
    </w:lvl>
    <w:lvl w:ilvl="5" w:tplc="0426001B" w:tentative="1">
      <w:start w:val="1"/>
      <w:numFmt w:val="lowerRoman"/>
      <w:lvlText w:val="%6."/>
      <w:lvlJc w:val="right"/>
      <w:pPr>
        <w:ind w:left="5085" w:hanging="180"/>
      </w:pPr>
    </w:lvl>
    <w:lvl w:ilvl="6" w:tplc="0426000F" w:tentative="1">
      <w:start w:val="1"/>
      <w:numFmt w:val="decimal"/>
      <w:lvlText w:val="%7."/>
      <w:lvlJc w:val="left"/>
      <w:pPr>
        <w:ind w:left="5805" w:hanging="360"/>
      </w:pPr>
    </w:lvl>
    <w:lvl w:ilvl="7" w:tplc="04260019" w:tentative="1">
      <w:start w:val="1"/>
      <w:numFmt w:val="lowerLetter"/>
      <w:lvlText w:val="%8."/>
      <w:lvlJc w:val="left"/>
      <w:pPr>
        <w:ind w:left="6525" w:hanging="360"/>
      </w:pPr>
    </w:lvl>
    <w:lvl w:ilvl="8" w:tplc="0426001B" w:tentative="1">
      <w:start w:val="1"/>
      <w:numFmt w:val="lowerRoman"/>
      <w:lvlText w:val="%9."/>
      <w:lvlJc w:val="right"/>
      <w:pPr>
        <w:ind w:left="7245" w:hanging="180"/>
      </w:pPr>
    </w:lvl>
  </w:abstractNum>
  <w:abstractNum w:abstractNumId="7" w15:restartNumberingAfterBreak="0">
    <w:nsid w:val="20CC57CC"/>
    <w:multiLevelType w:val="hybridMultilevel"/>
    <w:tmpl w:val="6290C3EE"/>
    <w:lvl w:ilvl="0" w:tplc="694872E0">
      <w:start w:val="2"/>
      <w:numFmt w:val="lowerRoman"/>
      <w:lvlText w:val="(%1)"/>
      <w:lvlJc w:val="left"/>
      <w:pPr>
        <w:ind w:left="1037" w:hanging="720"/>
      </w:pPr>
      <w:rPr>
        <w:rFonts w:hint="default"/>
      </w:rPr>
    </w:lvl>
    <w:lvl w:ilvl="1" w:tplc="04260019" w:tentative="1">
      <w:start w:val="1"/>
      <w:numFmt w:val="lowerLetter"/>
      <w:lvlText w:val="%2."/>
      <w:lvlJc w:val="left"/>
      <w:pPr>
        <w:ind w:left="1397" w:hanging="360"/>
      </w:pPr>
    </w:lvl>
    <w:lvl w:ilvl="2" w:tplc="0426001B" w:tentative="1">
      <w:start w:val="1"/>
      <w:numFmt w:val="lowerRoman"/>
      <w:lvlText w:val="%3."/>
      <w:lvlJc w:val="right"/>
      <w:pPr>
        <w:ind w:left="2117" w:hanging="180"/>
      </w:pPr>
    </w:lvl>
    <w:lvl w:ilvl="3" w:tplc="0426000F" w:tentative="1">
      <w:start w:val="1"/>
      <w:numFmt w:val="decimal"/>
      <w:lvlText w:val="%4."/>
      <w:lvlJc w:val="left"/>
      <w:pPr>
        <w:ind w:left="2837" w:hanging="360"/>
      </w:pPr>
    </w:lvl>
    <w:lvl w:ilvl="4" w:tplc="04260019" w:tentative="1">
      <w:start w:val="1"/>
      <w:numFmt w:val="lowerLetter"/>
      <w:lvlText w:val="%5."/>
      <w:lvlJc w:val="left"/>
      <w:pPr>
        <w:ind w:left="3557" w:hanging="360"/>
      </w:pPr>
    </w:lvl>
    <w:lvl w:ilvl="5" w:tplc="0426001B" w:tentative="1">
      <w:start w:val="1"/>
      <w:numFmt w:val="lowerRoman"/>
      <w:lvlText w:val="%6."/>
      <w:lvlJc w:val="right"/>
      <w:pPr>
        <w:ind w:left="4277" w:hanging="180"/>
      </w:pPr>
    </w:lvl>
    <w:lvl w:ilvl="6" w:tplc="0426000F" w:tentative="1">
      <w:start w:val="1"/>
      <w:numFmt w:val="decimal"/>
      <w:lvlText w:val="%7."/>
      <w:lvlJc w:val="left"/>
      <w:pPr>
        <w:ind w:left="4997" w:hanging="360"/>
      </w:pPr>
    </w:lvl>
    <w:lvl w:ilvl="7" w:tplc="04260019" w:tentative="1">
      <w:start w:val="1"/>
      <w:numFmt w:val="lowerLetter"/>
      <w:lvlText w:val="%8."/>
      <w:lvlJc w:val="left"/>
      <w:pPr>
        <w:ind w:left="5717" w:hanging="360"/>
      </w:pPr>
    </w:lvl>
    <w:lvl w:ilvl="8" w:tplc="0426001B" w:tentative="1">
      <w:start w:val="1"/>
      <w:numFmt w:val="lowerRoman"/>
      <w:lvlText w:val="%9."/>
      <w:lvlJc w:val="right"/>
      <w:pPr>
        <w:ind w:left="6437" w:hanging="180"/>
      </w:pPr>
    </w:lvl>
  </w:abstractNum>
  <w:abstractNum w:abstractNumId="8" w15:restartNumberingAfterBreak="0">
    <w:nsid w:val="264266B6"/>
    <w:multiLevelType w:val="hybridMultilevel"/>
    <w:tmpl w:val="6EBEE78A"/>
    <w:lvl w:ilvl="0" w:tplc="C26AF58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7E2DF1"/>
    <w:multiLevelType w:val="hybridMultilevel"/>
    <w:tmpl w:val="8EA6184C"/>
    <w:lvl w:ilvl="0" w:tplc="04260017">
      <w:start w:val="1"/>
      <w:numFmt w:val="lowerLetter"/>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CD948FA"/>
    <w:multiLevelType w:val="hybridMultilevel"/>
    <w:tmpl w:val="70AA97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D44471E"/>
    <w:multiLevelType w:val="hybridMultilevel"/>
    <w:tmpl w:val="365857E0"/>
    <w:lvl w:ilvl="0" w:tplc="ABE88A20">
      <w:start w:val="1"/>
      <w:numFmt w:val="lowerRoman"/>
      <w:lvlText w:val="(%1)"/>
      <w:lvlJc w:val="left"/>
      <w:pPr>
        <w:ind w:left="1179" w:hanging="360"/>
      </w:pPr>
      <w:rPr>
        <w:rFonts w:hint="default"/>
      </w:rPr>
    </w:lvl>
    <w:lvl w:ilvl="1" w:tplc="04260019" w:tentative="1">
      <w:start w:val="1"/>
      <w:numFmt w:val="lowerLetter"/>
      <w:lvlText w:val="%2."/>
      <w:lvlJc w:val="left"/>
      <w:pPr>
        <w:ind w:left="1899" w:hanging="360"/>
      </w:pPr>
    </w:lvl>
    <w:lvl w:ilvl="2" w:tplc="0426001B" w:tentative="1">
      <w:start w:val="1"/>
      <w:numFmt w:val="lowerRoman"/>
      <w:lvlText w:val="%3."/>
      <w:lvlJc w:val="right"/>
      <w:pPr>
        <w:ind w:left="2619" w:hanging="180"/>
      </w:pPr>
    </w:lvl>
    <w:lvl w:ilvl="3" w:tplc="0426000F" w:tentative="1">
      <w:start w:val="1"/>
      <w:numFmt w:val="decimal"/>
      <w:lvlText w:val="%4."/>
      <w:lvlJc w:val="left"/>
      <w:pPr>
        <w:ind w:left="3339" w:hanging="360"/>
      </w:pPr>
    </w:lvl>
    <w:lvl w:ilvl="4" w:tplc="04260019" w:tentative="1">
      <w:start w:val="1"/>
      <w:numFmt w:val="lowerLetter"/>
      <w:lvlText w:val="%5."/>
      <w:lvlJc w:val="left"/>
      <w:pPr>
        <w:ind w:left="4059" w:hanging="360"/>
      </w:pPr>
    </w:lvl>
    <w:lvl w:ilvl="5" w:tplc="0426001B" w:tentative="1">
      <w:start w:val="1"/>
      <w:numFmt w:val="lowerRoman"/>
      <w:lvlText w:val="%6."/>
      <w:lvlJc w:val="right"/>
      <w:pPr>
        <w:ind w:left="4779" w:hanging="180"/>
      </w:pPr>
    </w:lvl>
    <w:lvl w:ilvl="6" w:tplc="0426000F" w:tentative="1">
      <w:start w:val="1"/>
      <w:numFmt w:val="decimal"/>
      <w:lvlText w:val="%7."/>
      <w:lvlJc w:val="left"/>
      <w:pPr>
        <w:ind w:left="5499" w:hanging="360"/>
      </w:pPr>
    </w:lvl>
    <w:lvl w:ilvl="7" w:tplc="04260019" w:tentative="1">
      <w:start w:val="1"/>
      <w:numFmt w:val="lowerLetter"/>
      <w:lvlText w:val="%8."/>
      <w:lvlJc w:val="left"/>
      <w:pPr>
        <w:ind w:left="6219" w:hanging="360"/>
      </w:pPr>
    </w:lvl>
    <w:lvl w:ilvl="8" w:tplc="0426001B" w:tentative="1">
      <w:start w:val="1"/>
      <w:numFmt w:val="lowerRoman"/>
      <w:lvlText w:val="%9."/>
      <w:lvlJc w:val="right"/>
      <w:pPr>
        <w:ind w:left="6939" w:hanging="180"/>
      </w:pPr>
    </w:lvl>
  </w:abstractNum>
  <w:abstractNum w:abstractNumId="12" w15:restartNumberingAfterBreak="0">
    <w:nsid w:val="30A03522"/>
    <w:multiLevelType w:val="hybridMultilevel"/>
    <w:tmpl w:val="4CBA079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36AD439B"/>
    <w:multiLevelType w:val="hybridMultilevel"/>
    <w:tmpl w:val="88FE0B0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7045D1F"/>
    <w:multiLevelType w:val="hybridMultilevel"/>
    <w:tmpl w:val="CFA0C1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3A5382"/>
    <w:multiLevelType w:val="hybridMultilevel"/>
    <w:tmpl w:val="6EBEE78A"/>
    <w:lvl w:ilvl="0" w:tplc="C26AF58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BD04B7C"/>
    <w:multiLevelType w:val="hybridMultilevel"/>
    <w:tmpl w:val="F3DCC74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C1F32D7"/>
    <w:multiLevelType w:val="hybridMultilevel"/>
    <w:tmpl w:val="3E46638C"/>
    <w:lvl w:ilvl="0" w:tplc="7E029768">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CF8421A"/>
    <w:multiLevelType w:val="hybridMultilevel"/>
    <w:tmpl w:val="DF706E88"/>
    <w:lvl w:ilvl="0" w:tplc="7348219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45517941"/>
    <w:multiLevelType w:val="hybridMultilevel"/>
    <w:tmpl w:val="20D4D1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F4C5A4C"/>
    <w:multiLevelType w:val="hybridMultilevel"/>
    <w:tmpl w:val="CFA0C1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4DC4511"/>
    <w:multiLevelType w:val="hybridMultilevel"/>
    <w:tmpl w:val="BF4664A6"/>
    <w:lvl w:ilvl="0" w:tplc="8D3A86E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55E90D54"/>
    <w:multiLevelType w:val="hybridMultilevel"/>
    <w:tmpl w:val="82BA8EE0"/>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84E68F5"/>
    <w:multiLevelType w:val="hybridMultilevel"/>
    <w:tmpl w:val="153E6A9E"/>
    <w:lvl w:ilvl="0" w:tplc="47D04AB2">
      <w:start w:val="1"/>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5E51093D"/>
    <w:multiLevelType w:val="hybridMultilevel"/>
    <w:tmpl w:val="70AA97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0376FCC"/>
    <w:multiLevelType w:val="hybridMultilevel"/>
    <w:tmpl w:val="B124631C"/>
    <w:lvl w:ilvl="0" w:tplc="A3B2521E">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B7EEAE94">
      <w:start w:val="1"/>
      <w:numFmt w:val="lowerLetter"/>
      <w:lvlText w:val="%3)"/>
      <w:lvlJc w:val="left"/>
      <w:pPr>
        <w:ind w:left="2700" w:hanging="360"/>
      </w:pPr>
      <w:rPr>
        <w:rFonts w:hint="default"/>
      </w:r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631A2FEA"/>
    <w:multiLevelType w:val="multilevel"/>
    <w:tmpl w:val="ED86CC36"/>
    <w:styleLink w:val="Style1"/>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66632C15"/>
    <w:multiLevelType w:val="hybridMultilevel"/>
    <w:tmpl w:val="5022B2E4"/>
    <w:lvl w:ilvl="0" w:tplc="49F0C934">
      <w:start w:val="1"/>
      <w:numFmt w:val="lowerLetter"/>
      <w:lvlText w:val="%1)"/>
      <w:lvlJc w:val="left"/>
      <w:pPr>
        <w:ind w:left="720" w:hanging="360"/>
      </w:pPr>
      <w:rPr>
        <w:rFonts w:hint="default"/>
        <w:b w:val="0"/>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6CB41AE"/>
    <w:multiLevelType w:val="hybridMultilevel"/>
    <w:tmpl w:val="ECBA60F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9" w15:restartNumberingAfterBreak="0">
    <w:nsid w:val="6994287F"/>
    <w:multiLevelType w:val="hybridMultilevel"/>
    <w:tmpl w:val="976ED492"/>
    <w:lvl w:ilvl="0" w:tplc="A9327C64">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C071A43"/>
    <w:multiLevelType w:val="singleLevel"/>
    <w:tmpl w:val="7628821A"/>
    <w:lvl w:ilvl="0">
      <w:start w:val="1"/>
      <w:numFmt w:val="decimal"/>
      <w:lvlText w:val="%1)"/>
      <w:legacy w:legacy="1" w:legacySpace="0" w:legacyIndent="273"/>
      <w:lvlJc w:val="left"/>
      <w:rPr>
        <w:rFonts w:ascii="Times New Roman" w:hAnsi="Times New Roman" w:cs="Times New Roman" w:hint="default"/>
      </w:rPr>
    </w:lvl>
  </w:abstractNum>
  <w:abstractNum w:abstractNumId="31" w15:restartNumberingAfterBreak="0">
    <w:nsid w:val="6EE47AD6"/>
    <w:multiLevelType w:val="hybridMultilevel"/>
    <w:tmpl w:val="488A492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70D861B8"/>
    <w:multiLevelType w:val="hybridMultilevel"/>
    <w:tmpl w:val="39665D2E"/>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3" w15:restartNumberingAfterBreak="0">
    <w:nsid w:val="74035848"/>
    <w:multiLevelType w:val="hybridMultilevel"/>
    <w:tmpl w:val="95B4ADD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4" w15:restartNumberingAfterBreak="0">
    <w:nsid w:val="74B21192"/>
    <w:multiLevelType w:val="hybridMultilevel"/>
    <w:tmpl w:val="8DDA8F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6A8542B"/>
    <w:multiLevelType w:val="hybridMultilevel"/>
    <w:tmpl w:val="365857E0"/>
    <w:lvl w:ilvl="0" w:tplc="ABE88A20">
      <w:start w:val="1"/>
      <w:numFmt w:val="lowerRoman"/>
      <w:lvlText w:val="(%1)"/>
      <w:lvlJc w:val="left"/>
      <w:pPr>
        <w:ind w:left="1179" w:hanging="360"/>
      </w:pPr>
      <w:rPr>
        <w:rFonts w:hint="default"/>
      </w:rPr>
    </w:lvl>
    <w:lvl w:ilvl="1" w:tplc="04260019" w:tentative="1">
      <w:start w:val="1"/>
      <w:numFmt w:val="lowerLetter"/>
      <w:lvlText w:val="%2."/>
      <w:lvlJc w:val="left"/>
      <w:pPr>
        <w:ind w:left="1899" w:hanging="360"/>
      </w:pPr>
    </w:lvl>
    <w:lvl w:ilvl="2" w:tplc="0426001B" w:tentative="1">
      <w:start w:val="1"/>
      <w:numFmt w:val="lowerRoman"/>
      <w:lvlText w:val="%3."/>
      <w:lvlJc w:val="right"/>
      <w:pPr>
        <w:ind w:left="2619" w:hanging="180"/>
      </w:pPr>
    </w:lvl>
    <w:lvl w:ilvl="3" w:tplc="0426000F" w:tentative="1">
      <w:start w:val="1"/>
      <w:numFmt w:val="decimal"/>
      <w:lvlText w:val="%4."/>
      <w:lvlJc w:val="left"/>
      <w:pPr>
        <w:ind w:left="3339" w:hanging="360"/>
      </w:pPr>
    </w:lvl>
    <w:lvl w:ilvl="4" w:tplc="04260019" w:tentative="1">
      <w:start w:val="1"/>
      <w:numFmt w:val="lowerLetter"/>
      <w:lvlText w:val="%5."/>
      <w:lvlJc w:val="left"/>
      <w:pPr>
        <w:ind w:left="4059" w:hanging="360"/>
      </w:pPr>
    </w:lvl>
    <w:lvl w:ilvl="5" w:tplc="0426001B" w:tentative="1">
      <w:start w:val="1"/>
      <w:numFmt w:val="lowerRoman"/>
      <w:lvlText w:val="%6."/>
      <w:lvlJc w:val="right"/>
      <w:pPr>
        <w:ind w:left="4779" w:hanging="180"/>
      </w:pPr>
    </w:lvl>
    <w:lvl w:ilvl="6" w:tplc="0426000F" w:tentative="1">
      <w:start w:val="1"/>
      <w:numFmt w:val="decimal"/>
      <w:lvlText w:val="%7."/>
      <w:lvlJc w:val="left"/>
      <w:pPr>
        <w:ind w:left="5499" w:hanging="360"/>
      </w:pPr>
    </w:lvl>
    <w:lvl w:ilvl="7" w:tplc="04260019" w:tentative="1">
      <w:start w:val="1"/>
      <w:numFmt w:val="lowerLetter"/>
      <w:lvlText w:val="%8."/>
      <w:lvlJc w:val="left"/>
      <w:pPr>
        <w:ind w:left="6219" w:hanging="360"/>
      </w:pPr>
    </w:lvl>
    <w:lvl w:ilvl="8" w:tplc="0426001B" w:tentative="1">
      <w:start w:val="1"/>
      <w:numFmt w:val="lowerRoman"/>
      <w:lvlText w:val="%9."/>
      <w:lvlJc w:val="right"/>
      <w:pPr>
        <w:ind w:left="6939" w:hanging="180"/>
      </w:pPr>
    </w:lvl>
  </w:abstractNum>
  <w:abstractNum w:abstractNumId="36" w15:restartNumberingAfterBreak="0">
    <w:nsid w:val="7A097371"/>
    <w:multiLevelType w:val="hybridMultilevel"/>
    <w:tmpl w:val="271226DA"/>
    <w:lvl w:ilvl="0" w:tplc="E7E276F6">
      <w:start w:val="10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7A5D218D"/>
    <w:multiLevelType w:val="hybridMultilevel"/>
    <w:tmpl w:val="9C32B2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6"/>
  </w:num>
  <w:num w:numId="2">
    <w:abstractNumId w:val="11"/>
  </w:num>
  <w:num w:numId="3">
    <w:abstractNumId w:val="13"/>
  </w:num>
  <w:num w:numId="4">
    <w:abstractNumId w:val="15"/>
  </w:num>
  <w:num w:numId="5">
    <w:abstractNumId w:val="17"/>
  </w:num>
  <w:num w:numId="6">
    <w:abstractNumId w:val="10"/>
  </w:num>
  <w:num w:numId="7">
    <w:abstractNumId w:val="8"/>
  </w:num>
  <w:num w:numId="8">
    <w:abstractNumId w:val="1"/>
  </w:num>
  <w:num w:numId="9">
    <w:abstractNumId w:val="3"/>
  </w:num>
  <w:num w:numId="10">
    <w:abstractNumId w:val="24"/>
  </w:num>
  <w:num w:numId="11">
    <w:abstractNumId w:val="7"/>
  </w:num>
  <w:num w:numId="12">
    <w:abstractNumId w:val="35"/>
  </w:num>
  <w:num w:numId="13">
    <w:abstractNumId w:val="5"/>
  </w:num>
  <w:num w:numId="14">
    <w:abstractNumId w:val="0"/>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lvlOverride w:ilvl="1"/>
    <w:lvlOverride w:ilvl="2"/>
    <w:lvlOverride w:ilvl="3"/>
    <w:lvlOverride w:ilvl="4"/>
    <w:lvlOverride w:ilvl="5"/>
    <w:lvlOverride w:ilvl="6"/>
    <w:lvlOverride w:ilvl="7"/>
    <w:lvlOverride w:ilvl="8"/>
  </w:num>
  <w:num w:numId="17">
    <w:abstractNumId w:val="23"/>
  </w:num>
  <w:num w:numId="18">
    <w:abstractNumId w:val="20"/>
  </w:num>
  <w:num w:numId="19">
    <w:abstractNumId w:val="14"/>
  </w:num>
  <w:num w:numId="20">
    <w:abstractNumId w:val="21"/>
  </w:num>
  <w:num w:numId="21">
    <w:abstractNumId w:val="30"/>
    <w:lvlOverride w:ilvl="0">
      <w:lvl w:ilvl="0">
        <w:start w:val="1"/>
        <w:numFmt w:val="decimal"/>
        <w:lvlText w:val="%1)"/>
        <w:legacy w:legacy="1" w:legacySpace="0" w:legacyIndent="274"/>
        <w:lvlJc w:val="left"/>
        <w:rPr>
          <w:rFonts w:ascii="Times New Roman" w:hAnsi="Times New Roman" w:cs="Times New Roman" w:hint="default"/>
        </w:rPr>
      </w:lvl>
    </w:lvlOverride>
  </w:num>
  <w:num w:numId="22">
    <w:abstractNumId w:val="37"/>
  </w:num>
  <w:num w:numId="23">
    <w:abstractNumId w:val="19"/>
  </w:num>
  <w:num w:numId="24">
    <w:abstractNumId w:val="31"/>
  </w:num>
  <w:num w:numId="25">
    <w:abstractNumId w:val="12"/>
  </w:num>
  <w:num w:numId="26">
    <w:abstractNumId w:val="4"/>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8"/>
  </w:num>
  <w:num w:numId="30">
    <w:abstractNumId w:val="16"/>
  </w:num>
  <w:num w:numId="31">
    <w:abstractNumId w:val="18"/>
  </w:num>
  <w:num w:numId="32">
    <w:abstractNumId w:val="29"/>
  </w:num>
  <w:num w:numId="33">
    <w:abstractNumId w:val="27"/>
  </w:num>
  <w:num w:numId="34">
    <w:abstractNumId w:val="9"/>
  </w:num>
  <w:num w:numId="35">
    <w:abstractNumId w:val="25"/>
  </w:num>
  <w:num w:numId="36">
    <w:abstractNumId w:val="32"/>
  </w:num>
  <w:num w:numId="37">
    <w:abstractNumId w:val="2"/>
  </w:num>
  <w:num w:numId="38">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oNotTrackMoves/>
  <w:defaultTabStop w:val="720"/>
  <w:drawingGridHorizontalSpacing w:val="140"/>
  <w:drawingGridVerticalSpacing w:val="381"/>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52D8"/>
    <w:rsid w:val="00002DDD"/>
    <w:rsid w:val="0000586C"/>
    <w:rsid w:val="00006E7B"/>
    <w:rsid w:val="0001079F"/>
    <w:rsid w:val="00011966"/>
    <w:rsid w:val="00012426"/>
    <w:rsid w:val="000143CC"/>
    <w:rsid w:val="00020714"/>
    <w:rsid w:val="0002195D"/>
    <w:rsid w:val="00021E04"/>
    <w:rsid w:val="00022F7A"/>
    <w:rsid w:val="000237EB"/>
    <w:rsid w:val="000267C7"/>
    <w:rsid w:val="0002693E"/>
    <w:rsid w:val="00031774"/>
    <w:rsid w:val="000337A1"/>
    <w:rsid w:val="00037399"/>
    <w:rsid w:val="00037646"/>
    <w:rsid w:val="00037A69"/>
    <w:rsid w:val="00040400"/>
    <w:rsid w:val="000416F3"/>
    <w:rsid w:val="00042D19"/>
    <w:rsid w:val="00043BEF"/>
    <w:rsid w:val="00044637"/>
    <w:rsid w:val="00045EB5"/>
    <w:rsid w:val="00050F71"/>
    <w:rsid w:val="00052370"/>
    <w:rsid w:val="000525EB"/>
    <w:rsid w:val="00053D18"/>
    <w:rsid w:val="00063524"/>
    <w:rsid w:val="00064CBF"/>
    <w:rsid w:val="00066797"/>
    <w:rsid w:val="00081297"/>
    <w:rsid w:val="00082CFE"/>
    <w:rsid w:val="000838B2"/>
    <w:rsid w:val="0008400B"/>
    <w:rsid w:val="00084752"/>
    <w:rsid w:val="00085B3B"/>
    <w:rsid w:val="000918E0"/>
    <w:rsid w:val="000944A4"/>
    <w:rsid w:val="000A02DE"/>
    <w:rsid w:val="000A052D"/>
    <w:rsid w:val="000A2F33"/>
    <w:rsid w:val="000A44BE"/>
    <w:rsid w:val="000A55CF"/>
    <w:rsid w:val="000A63D6"/>
    <w:rsid w:val="000B0382"/>
    <w:rsid w:val="000B1A0F"/>
    <w:rsid w:val="000B2185"/>
    <w:rsid w:val="000B6F18"/>
    <w:rsid w:val="000B73F7"/>
    <w:rsid w:val="000B7F16"/>
    <w:rsid w:val="000C0CF4"/>
    <w:rsid w:val="000C1F13"/>
    <w:rsid w:val="000C26A4"/>
    <w:rsid w:val="000C2B77"/>
    <w:rsid w:val="000C55D9"/>
    <w:rsid w:val="000C699D"/>
    <w:rsid w:val="000D0276"/>
    <w:rsid w:val="000D1AC6"/>
    <w:rsid w:val="000D4E51"/>
    <w:rsid w:val="000D627F"/>
    <w:rsid w:val="000D7334"/>
    <w:rsid w:val="000E0A68"/>
    <w:rsid w:val="000E0E9B"/>
    <w:rsid w:val="000E2EB4"/>
    <w:rsid w:val="000E3105"/>
    <w:rsid w:val="000E578F"/>
    <w:rsid w:val="000E6FB4"/>
    <w:rsid w:val="000F0E88"/>
    <w:rsid w:val="000F26CF"/>
    <w:rsid w:val="000F3142"/>
    <w:rsid w:val="000F56B1"/>
    <w:rsid w:val="000F6276"/>
    <w:rsid w:val="000F7690"/>
    <w:rsid w:val="001005A7"/>
    <w:rsid w:val="00100EDD"/>
    <w:rsid w:val="00101E7A"/>
    <w:rsid w:val="001035A7"/>
    <w:rsid w:val="00105256"/>
    <w:rsid w:val="00105E48"/>
    <w:rsid w:val="00115358"/>
    <w:rsid w:val="00116D9B"/>
    <w:rsid w:val="001171B4"/>
    <w:rsid w:val="00122F17"/>
    <w:rsid w:val="00125A2E"/>
    <w:rsid w:val="001271F0"/>
    <w:rsid w:val="00135314"/>
    <w:rsid w:val="0013558B"/>
    <w:rsid w:val="00135974"/>
    <w:rsid w:val="001457BC"/>
    <w:rsid w:val="00145BDF"/>
    <w:rsid w:val="00153849"/>
    <w:rsid w:val="00154D42"/>
    <w:rsid w:val="00156589"/>
    <w:rsid w:val="001569C4"/>
    <w:rsid w:val="00156BC2"/>
    <w:rsid w:val="00156E55"/>
    <w:rsid w:val="00160BAE"/>
    <w:rsid w:val="00162501"/>
    <w:rsid w:val="001630D8"/>
    <w:rsid w:val="00163BFF"/>
    <w:rsid w:val="00163E5F"/>
    <w:rsid w:val="001656E5"/>
    <w:rsid w:val="001661A7"/>
    <w:rsid w:val="00166AEE"/>
    <w:rsid w:val="00171204"/>
    <w:rsid w:val="00171C00"/>
    <w:rsid w:val="00174632"/>
    <w:rsid w:val="0017575D"/>
    <w:rsid w:val="00175B51"/>
    <w:rsid w:val="001763E7"/>
    <w:rsid w:val="0018192C"/>
    <w:rsid w:val="001842C8"/>
    <w:rsid w:val="0018612E"/>
    <w:rsid w:val="001949C5"/>
    <w:rsid w:val="0019744C"/>
    <w:rsid w:val="00197510"/>
    <w:rsid w:val="001A1AAE"/>
    <w:rsid w:val="001A22FC"/>
    <w:rsid w:val="001A34C8"/>
    <w:rsid w:val="001B1F13"/>
    <w:rsid w:val="001B4FCB"/>
    <w:rsid w:val="001C0DCB"/>
    <w:rsid w:val="001C18AE"/>
    <w:rsid w:val="001C5161"/>
    <w:rsid w:val="001C75AD"/>
    <w:rsid w:val="001D12B7"/>
    <w:rsid w:val="001D46B0"/>
    <w:rsid w:val="001D562C"/>
    <w:rsid w:val="001D6B2B"/>
    <w:rsid w:val="001D702B"/>
    <w:rsid w:val="001E5DBB"/>
    <w:rsid w:val="001E77D3"/>
    <w:rsid w:val="001E7D56"/>
    <w:rsid w:val="001F1D0A"/>
    <w:rsid w:val="001F1FBC"/>
    <w:rsid w:val="001F41B2"/>
    <w:rsid w:val="001F5091"/>
    <w:rsid w:val="001F6162"/>
    <w:rsid w:val="001F7A75"/>
    <w:rsid w:val="00201E61"/>
    <w:rsid w:val="00204A6F"/>
    <w:rsid w:val="00205275"/>
    <w:rsid w:val="002054DD"/>
    <w:rsid w:val="0020756B"/>
    <w:rsid w:val="00207E4B"/>
    <w:rsid w:val="002103CF"/>
    <w:rsid w:val="00210938"/>
    <w:rsid w:val="002119AD"/>
    <w:rsid w:val="0021655B"/>
    <w:rsid w:val="002241E8"/>
    <w:rsid w:val="00232D96"/>
    <w:rsid w:val="002361EC"/>
    <w:rsid w:val="0023755C"/>
    <w:rsid w:val="00242511"/>
    <w:rsid w:val="00242A6A"/>
    <w:rsid w:val="00242F39"/>
    <w:rsid w:val="00250981"/>
    <w:rsid w:val="00251AA3"/>
    <w:rsid w:val="00252AB7"/>
    <w:rsid w:val="002533EF"/>
    <w:rsid w:val="0025470B"/>
    <w:rsid w:val="00255FB0"/>
    <w:rsid w:val="00257856"/>
    <w:rsid w:val="00257B5B"/>
    <w:rsid w:val="002624EC"/>
    <w:rsid w:val="00263000"/>
    <w:rsid w:val="00264DA0"/>
    <w:rsid w:val="00265C20"/>
    <w:rsid w:val="00266FD2"/>
    <w:rsid w:val="002670CC"/>
    <w:rsid w:val="00274153"/>
    <w:rsid w:val="00276178"/>
    <w:rsid w:val="00277766"/>
    <w:rsid w:val="0028247C"/>
    <w:rsid w:val="00283662"/>
    <w:rsid w:val="00287F0D"/>
    <w:rsid w:val="002A681A"/>
    <w:rsid w:val="002A7369"/>
    <w:rsid w:val="002B50A9"/>
    <w:rsid w:val="002B6954"/>
    <w:rsid w:val="002B6F32"/>
    <w:rsid w:val="002B77A2"/>
    <w:rsid w:val="002C621D"/>
    <w:rsid w:val="002D08CB"/>
    <w:rsid w:val="002E16FD"/>
    <w:rsid w:val="002E656D"/>
    <w:rsid w:val="002E700F"/>
    <w:rsid w:val="002F3C13"/>
    <w:rsid w:val="002F70D7"/>
    <w:rsid w:val="0030094F"/>
    <w:rsid w:val="00300AA9"/>
    <w:rsid w:val="0030407D"/>
    <w:rsid w:val="00305F69"/>
    <w:rsid w:val="003129F2"/>
    <w:rsid w:val="003132DD"/>
    <w:rsid w:val="003135E8"/>
    <w:rsid w:val="00315A85"/>
    <w:rsid w:val="00320BDC"/>
    <w:rsid w:val="003224A3"/>
    <w:rsid w:val="00324CE8"/>
    <w:rsid w:val="0032517C"/>
    <w:rsid w:val="00327F45"/>
    <w:rsid w:val="003304EC"/>
    <w:rsid w:val="00333E2B"/>
    <w:rsid w:val="0033531C"/>
    <w:rsid w:val="00335902"/>
    <w:rsid w:val="003377FE"/>
    <w:rsid w:val="00337E1F"/>
    <w:rsid w:val="00347170"/>
    <w:rsid w:val="00347217"/>
    <w:rsid w:val="003528A7"/>
    <w:rsid w:val="00355242"/>
    <w:rsid w:val="00367D7F"/>
    <w:rsid w:val="00370318"/>
    <w:rsid w:val="00374FCA"/>
    <w:rsid w:val="003754B9"/>
    <w:rsid w:val="00377593"/>
    <w:rsid w:val="00380DBD"/>
    <w:rsid w:val="00381420"/>
    <w:rsid w:val="00381861"/>
    <w:rsid w:val="0038671F"/>
    <w:rsid w:val="00390138"/>
    <w:rsid w:val="00390311"/>
    <w:rsid w:val="0039110D"/>
    <w:rsid w:val="00392E06"/>
    <w:rsid w:val="00394497"/>
    <w:rsid w:val="003A42BD"/>
    <w:rsid w:val="003A60F7"/>
    <w:rsid w:val="003B09AB"/>
    <w:rsid w:val="003B20C6"/>
    <w:rsid w:val="003C0F92"/>
    <w:rsid w:val="003C35C0"/>
    <w:rsid w:val="003C6903"/>
    <w:rsid w:val="003D3869"/>
    <w:rsid w:val="003D697F"/>
    <w:rsid w:val="003D6EFD"/>
    <w:rsid w:val="003D707E"/>
    <w:rsid w:val="003D7E1F"/>
    <w:rsid w:val="003E3F89"/>
    <w:rsid w:val="003E4070"/>
    <w:rsid w:val="003E62F8"/>
    <w:rsid w:val="003F0BE0"/>
    <w:rsid w:val="003F21BC"/>
    <w:rsid w:val="003F529A"/>
    <w:rsid w:val="003F5FFF"/>
    <w:rsid w:val="003F721F"/>
    <w:rsid w:val="00400891"/>
    <w:rsid w:val="00420363"/>
    <w:rsid w:val="00426671"/>
    <w:rsid w:val="004273F9"/>
    <w:rsid w:val="00430CB6"/>
    <w:rsid w:val="00431CC4"/>
    <w:rsid w:val="00431ED8"/>
    <w:rsid w:val="004327FB"/>
    <w:rsid w:val="00434705"/>
    <w:rsid w:val="004366A4"/>
    <w:rsid w:val="00437582"/>
    <w:rsid w:val="00441B20"/>
    <w:rsid w:val="004437CF"/>
    <w:rsid w:val="00445E51"/>
    <w:rsid w:val="004478D8"/>
    <w:rsid w:val="00453148"/>
    <w:rsid w:val="00453246"/>
    <w:rsid w:val="0045506F"/>
    <w:rsid w:val="00455A34"/>
    <w:rsid w:val="00457850"/>
    <w:rsid w:val="00460E3F"/>
    <w:rsid w:val="00462742"/>
    <w:rsid w:val="0046698B"/>
    <w:rsid w:val="004675D5"/>
    <w:rsid w:val="00470D6E"/>
    <w:rsid w:val="004714F4"/>
    <w:rsid w:val="004751E9"/>
    <w:rsid w:val="00475888"/>
    <w:rsid w:val="00475AE3"/>
    <w:rsid w:val="00475F2A"/>
    <w:rsid w:val="00476711"/>
    <w:rsid w:val="00477261"/>
    <w:rsid w:val="0047728B"/>
    <w:rsid w:val="00477D96"/>
    <w:rsid w:val="00480F00"/>
    <w:rsid w:val="0048275B"/>
    <w:rsid w:val="00482B48"/>
    <w:rsid w:val="00483A37"/>
    <w:rsid w:val="004840E5"/>
    <w:rsid w:val="00485173"/>
    <w:rsid w:val="00485889"/>
    <w:rsid w:val="00487B49"/>
    <w:rsid w:val="00487D16"/>
    <w:rsid w:val="00490D3B"/>
    <w:rsid w:val="00491A5C"/>
    <w:rsid w:val="004924F1"/>
    <w:rsid w:val="004930DC"/>
    <w:rsid w:val="00493138"/>
    <w:rsid w:val="0049585A"/>
    <w:rsid w:val="004A367B"/>
    <w:rsid w:val="004A3CAC"/>
    <w:rsid w:val="004A46BE"/>
    <w:rsid w:val="004B1F97"/>
    <w:rsid w:val="004B519F"/>
    <w:rsid w:val="004B5C49"/>
    <w:rsid w:val="004C3C8C"/>
    <w:rsid w:val="004C73FB"/>
    <w:rsid w:val="004D0F5E"/>
    <w:rsid w:val="004D3B93"/>
    <w:rsid w:val="004D3F06"/>
    <w:rsid w:val="004D70D0"/>
    <w:rsid w:val="004D763D"/>
    <w:rsid w:val="004D79BA"/>
    <w:rsid w:val="004E061D"/>
    <w:rsid w:val="004E06E4"/>
    <w:rsid w:val="004E21F2"/>
    <w:rsid w:val="004E3C61"/>
    <w:rsid w:val="004E704A"/>
    <w:rsid w:val="004E7D34"/>
    <w:rsid w:val="004F1486"/>
    <w:rsid w:val="004F1787"/>
    <w:rsid w:val="004F2168"/>
    <w:rsid w:val="004F2E74"/>
    <w:rsid w:val="004F59BF"/>
    <w:rsid w:val="004F7E14"/>
    <w:rsid w:val="00500838"/>
    <w:rsid w:val="005027A2"/>
    <w:rsid w:val="005039FF"/>
    <w:rsid w:val="0050602E"/>
    <w:rsid w:val="00507211"/>
    <w:rsid w:val="005072D1"/>
    <w:rsid w:val="00510675"/>
    <w:rsid w:val="00511ED3"/>
    <w:rsid w:val="0051505A"/>
    <w:rsid w:val="005244F9"/>
    <w:rsid w:val="00525A41"/>
    <w:rsid w:val="00527763"/>
    <w:rsid w:val="00532C01"/>
    <w:rsid w:val="00535293"/>
    <w:rsid w:val="0053727C"/>
    <w:rsid w:val="00540EFB"/>
    <w:rsid w:val="0054352F"/>
    <w:rsid w:val="00544683"/>
    <w:rsid w:val="0054547A"/>
    <w:rsid w:val="005470FE"/>
    <w:rsid w:val="00550BD7"/>
    <w:rsid w:val="005545CE"/>
    <w:rsid w:val="00556D6B"/>
    <w:rsid w:val="00565431"/>
    <w:rsid w:val="00572F2A"/>
    <w:rsid w:val="00573D8A"/>
    <w:rsid w:val="00575318"/>
    <w:rsid w:val="0057628C"/>
    <w:rsid w:val="00582889"/>
    <w:rsid w:val="0058435E"/>
    <w:rsid w:val="00591E5B"/>
    <w:rsid w:val="0059545B"/>
    <w:rsid w:val="005955DF"/>
    <w:rsid w:val="00596E2C"/>
    <w:rsid w:val="00597774"/>
    <w:rsid w:val="005A0583"/>
    <w:rsid w:val="005A0E3F"/>
    <w:rsid w:val="005A0EA6"/>
    <w:rsid w:val="005A1019"/>
    <w:rsid w:val="005A26CD"/>
    <w:rsid w:val="005A4351"/>
    <w:rsid w:val="005A4E7E"/>
    <w:rsid w:val="005A5058"/>
    <w:rsid w:val="005B0432"/>
    <w:rsid w:val="005B22FB"/>
    <w:rsid w:val="005B391B"/>
    <w:rsid w:val="005C3CBF"/>
    <w:rsid w:val="005C726F"/>
    <w:rsid w:val="005D1420"/>
    <w:rsid w:val="005D1C99"/>
    <w:rsid w:val="005D4163"/>
    <w:rsid w:val="005D463A"/>
    <w:rsid w:val="005D5940"/>
    <w:rsid w:val="005D6416"/>
    <w:rsid w:val="005D6CED"/>
    <w:rsid w:val="005E1BD9"/>
    <w:rsid w:val="005E1DA3"/>
    <w:rsid w:val="005E1F9D"/>
    <w:rsid w:val="005E2507"/>
    <w:rsid w:val="005E7EFB"/>
    <w:rsid w:val="005F23DB"/>
    <w:rsid w:val="005F3080"/>
    <w:rsid w:val="005F4DE1"/>
    <w:rsid w:val="005F4F02"/>
    <w:rsid w:val="0060224F"/>
    <w:rsid w:val="0060236D"/>
    <w:rsid w:val="006028D7"/>
    <w:rsid w:val="00602C8A"/>
    <w:rsid w:val="00610C7C"/>
    <w:rsid w:val="00611A80"/>
    <w:rsid w:val="00612C08"/>
    <w:rsid w:val="006166A8"/>
    <w:rsid w:val="00616804"/>
    <w:rsid w:val="006220E8"/>
    <w:rsid w:val="0062277E"/>
    <w:rsid w:val="00626F2B"/>
    <w:rsid w:val="00627735"/>
    <w:rsid w:val="00627F0B"/>
    <w:rsid w:val="006326A9"/>
    <w:rsid w:val="00637267"/>
    <w:rsid w:val="006405A6"/>
    <w:rsid w:val="00644128"/>
    <w:rsid w:val="006473C2"/>
    <w:rsid w:val="00647C0D"/>
    <w:rsid w:val="00651045"/>
    <w:rsid w:val="006515FF"/>
    <w:rsid w:val="00652B72"/>
    <w:rsid w:val="00654639"/>
    <w:rsid w:val="00654961"/>
    <w:rsid w:val="00655A78"/>
    <w:rsid w:val="00655E25"/>
    <w:rsid w:val="00655E5C"/>
    <w:rsid w:val="00656F7F"/>
    <w:rsid w:val="00657F54"/>
    <w:rsid w:val="00660674"/>
    <w:rsid w:val="00660DD6"/>
    <w:rsid w:val="00661156"/>
    <w:rsid w:val="00661546"/>
    <w:rsid w:val="006616DD"/>
    <w:rsid w:val="00661C1B"/>
    <w:rsid w:val="00663785"/>
    <w:rsid w:val="006637C9"/>
    <w:rsid w:val="00663B0C"/>
    <w:rsid w:val="00666B05"/>
    <w:rsid w:val="006709D7"/>
    <w:rsid w:val="00670D7B"/>
    <w:rsid w:val="00672D4B"/>
    <w:rsid w:val="00673FBF"/>
    <w:rsid w:val="00680A17"/>
    <w:rsid w:val="00680D3A"/>
    <w:rsid w:val="006834E0"/>
    <w:rsid w:val="00684F8A"/>
    <w:rsid w:val="0068651F"/>
    <w:rsid w:val="00692A4A"/>
    <w:rsid w:val="00692C1E"/>
    <w:rsid w:val="006940CD"/>
    <w:rsid w:val="006940F8"/>
    <w:rsid w:val="00695AFF"/>
    <w:rsid w:val="00696B24"/>
    <w:rsid w:val="00697383"/>
    <w:rsid w:val="006A02B7"/>
    <w:rsid w:val="006A33F8"/>
    <w:rsid w:val="006A42B8"/>
    <w:rsid w:val="006B01E6"/>
    <w:rsid w:val="006B0AC6"/>
    <w:rsid w:val="006C271F"/>
    <w:rsid w:val="006C4DD9"/>
    <w:rsid w:val="006C6623"/>
    <w:rsid w:val="006D0982"/>
    <w:rsid w:val="006D11EE"/>
    <w:rsid w:val="006D5198"/>
    <w:rsid w:val="006D5775"/>
    <w:rsid w:val="006D7201"/>
    <w:rsid w:val="006D76DA"/>
    <w:rsid w:val="006E111C"/>
    <w:rsid w:val="006E3BC5"/>
    <w:rsid w:val="006E54C2"/>
    <w:rsid w:val="006F044B"/>
    <w:rsid w:val="006F1F5A"/>
    <w:rsid w:val="006F30A3"/>
    <w:rsid w:val="006F79C6"/>
    <w:rsid w:val="006F7EAF"/>
    <w:rsid w:val="007017D6"/>
    <w:rsid w:val="00703682"/>
    <w:rsid w:val="007066FE"/>
    <w:rsid w:val="00707383"/>
    <w:rsid w:val="0070770B"/>
    <w:rsid w:val="007122F1"/>
    <w:rsid w:val="007146C9"/>
    <w:rsid w:val="00717234"/>
    <w:rsid w:val="00720E8D"/>
    <w:rsid w:val="00726D7D"/>
    <w:rsid w:val="0073058C"/>
    <w:rsid w:val="007334EC"/>
    <w:rsid w:val="00734C9B"/>
    <w:rsid w:val="00736431"/>
    <w:rsid w:val="007414F9"/>
    <w:rsid w:val="007436E7"/>
    <w:rsid w:val="0074485C"/>
    <w:rsid w:val="007471BF"/>
    <w:rsid w:val="00747DBA"/>
    <w:rsid w:val="00751015"/>
    <w:rsid w:val="0075241D"/>
    <w:rsid w:val="00753BC8"/>
    <w:rsid w:val="00753FB2"/>
    <w:rsid w:val="00756AB8"/>
    <w:rsid w:val="0075756C"/>
    <w:rsid w:val="007601CC"/>
    <w:rsid w:val="007604FA"/>
    <w:rsid w:val="00760AA1"/>
    <w:rsid w:val="00760B4A"/>
    <w:rsid w:val="00763CE5"/>
    <w:rsid w:val="007663E9"/>
    <w:rsid w:val="0077287B"/>
    <w:rsid w:val="00773756"/>
    <w:rsid w:val="00775C28"/>
    <w:rsid w:val="0077628C"/>
    <w:rsid w:val="00780534"/>
    <w:rsid w:val="007844F2"/>
    <w:rsid w:val="00785434"/>
    <w:rsid w:val="0078772F"/>
    <w:rsid w:val="00793A03"/>
    <w:rsid w:val="00794E30"/>
    <w:rsid w:val="00795E13"/>
    <w:rsid w:val="00797003"/>
    <w:rsid w:val="007A2706"/>
    <w:rsid w:val="007A336E"/>
    <w:rsid w:val="007A36E9"/>
    <w:rsid w:val="007A7AEC"/>
    <w:rsid w:val="007B005C"/>
    <w:rsid w:val="007B00F3"/>
    <w:rsid w:val="007B4C2F"/>
    <w:rsid w:val="007B5827"/>
    <w:rsid w:val="007B64E9"/>
    <w:rsid w:val="007B7E61"/>
    <w:rsid w:val="007C082D"/>
    <w:rsid w:val="007C11B8"/>
    <w:rsid w:val="007C232B"/>
    <w:rsid w:val="007C2F07"/>
    <w:rsid w:val="007C6B7D"/>
    <w:rsid w:val="007D27D6"/>
    <w:rsid w:val="007D3DF5"/>
    <w:rsid w:val="007D481E"/>
    <w:rsid w:val="007D6077"/>
    <w:rsid w:val="007D6925"/>
    <w:rsid w:val="007D7D5A"/>
    <w:rsid w:val="007E012E"/>
    <w:rsid w:val="007E277A"/>
    <w:rsid w:val="007E3C4C"/>
    <w:rsid w:val="007E3FD5"/>
    <w:rsid w:val="007E4E04"/>
    <w:rsid w:val="007E531C"/>
    <w:rsid w:val="007E6EB9"/>
    <w:rsid w:val="007F17E6"/>
    <w:rsid w:val="007F1903"/>
    <w:rsid w:val="007F4CEE"/>
    <w:rsid w:val="007F61D6"/>
    <w:rsid w:val="007F7A4E"/>
    <w:rsid w:val="007F7F17"/>
    <w:rsid w:val="008071F8"/>
    <w:rsid w:val="0080766D"/>
    <w:rsid w:val="008116C0"/>
    <w:rsid w:val="008129CA"/>
    <w:rsid w:val="00814C8C"/>
    <w:rsid w:val="008159EF"/>
    <w:rsid w:val="0082062C"/>
    <w:rsid w:val="008213B2"/>
    <w:rsid w:val="00825828"/>
    <w:rsid w:val="0082676D"/>
    <w:rsid w:val="00832464"/>
    <w:rsid w:val="00834533"/>
    <w:rsid w:val="00840391"/>
    <w:rsid w:val="00840722"/>
    <w:rsid w:val="0084340C"/>
    <w:rsid w:val="008475A0"/>
    <w:rsid w:val="008513B8"/>
    <w:rsid w:val="00853F9F"/>
    <w:rsid w:val="00854F4E"/>
    <w:rsid w:val="0086113B"/>
    <w:rsid w:val="00861976"/>
    <w:rsid w:val="00866E29"/>
    <w:rsid w:val="0086731F"/>
    <w:rsid w:val="00877648"/>
    <w:rsid w:val="00877A41"/>
    <w:rsid w:val="00880B0B"/>
    <w:rsid w:val="00883E3B"/>
    <w:rsid w:val="008841BE"/>
    <w:rsid w:val="0088794B"/>
    <w:rsid w:val="00887C6D"/>
    <w:rsid w:val="00890A45"/>
    <w:rsid w:val="00891940"/>
    <w:rsid w:val="00892E21"/>
    <w:rsid w:val="008931D2"/>
    <w:rsid w:val="00896AC8"/>
    <w:rsid w:val="008A4254"/>
    <w:rsid w:val="008B0F35"/>
    <w:rsid w:val="008B19D9"/>
    <w:rsid w:val="008B4ADE"/>
    <w:rsid w:val="008B55E1"/>
    <w:rsid w:val="008B6721"/>
    <w:rsid w:val="008B78D0"/>
    <w:rsid w:val="008B79D4"/>
    <w:rsid w:val="008C0918"/>
    <w:rsid w:val="008C1399"/>
    <w:rsid w:val="008C2194"/>
    <w:rsid w:val="008C3B44"/>
    <w:rsid w:val="008C475D"/>
    <w:rsid w:val="008C4D36"/>
    <w:rsid w:val="008D076F"/>
    <w:rsid w:val="008D0DD5"/>
    <w:rsid w:val="008D0FD1"/>
    <w:rsid w:val="008E7FCD"/>
    <w:rsid w:val="008F1084"/>
    <w:rsid w:val="008F1A72"/>
    <w:rsid w:val="008F53D2"/>
    <w:rsid w:val="008F5828"/>
    <w:rsid w:val="009046BD"/>
    <w:rsid w:val="00904734"/>
    <w:rsid w:val="00904B3F"/>
    <w:rsid w:val="009075E1"/>
    <w:rsid w:val="00916106"/>
    <w:rsid w:val="009161D3"/>
    <w:rsid w:val="009172CB"/>
    <w:rsid w:val="009200AD"/>
    <w:rsid w:val="0092108E"/>
    <w:rsid w:val="009238C3"/>
    <w:rsid w:val="00925E9B"/>
    <w:rsid w:val="00926E58"/>
    <w:rsid w:val="00930D01"/>
    <w:rsid w:val="0093422E"/>
    <w:rsid w:val="00937C21"/>
    <w:rsid w:val="009400D3"/>
    <w:rsid w:val="00941D61"/>
    <w:rsid w:val="009445D7"/>
    <w:rsid w:val="00944A49"/>
    <w:rsid w:val="00944D7E"/>
    <w:rsid w:val="00945A7B"/>
    <w:rsid w:val="00955101"/>
    <w:rsid w:val="0096042A"/>
    <w:rsid w:val="00961F87"/>
    <w:rsid w:val="00965D41"/>
    <w:rsid w:val="00970899"/>
    <w:rsid w:val="009709B3"/>
    <w:rsid w:val="00975533"/>
    <w:rsid w:val="00976D00"/>
    <w:rsid w:val="00982372"/>
    <w:rsid w:val="0098266F"/>
    <w:rsid w:val="00982C87"/>
    <w:rsid w:val="00982DD3"/>
    <w:rsid w:val="0098503F"/>
    <w:rsid w:val="009874F6"/>
    <w:rsid w:val="00991D47"/>
    <w:rsid w:val="00992698"/>
    <w:rsid w:val="0099460A"/>
    <w:rsid w:val="00996D11"/>
    <w:rsid w:val="00997419"/>
    <w:rsid w:val="009A12B9"/>
    <w:rsid w:val="009A133D"/>
    <w:rsid w:val="009A565D"/>
    <w:rsid w:val="009A60F8"/>
    <w:rsid w:val="009A7D3D"/>
    <w:rsid w:val="009B1872"/>
    <w:rsid w:val="009B203A"/>
    <w:rsid w:val="009C07B9"/>
    <w:rsid w:val="009C2843"/>
    <w:rsid w:val="009C2DA4"/>
    <w:rsid w:val="009C3394"/>
    <w:rsid w:val="009C4080"/>
    <w:rsid w:val="009C4AFC"/>
    <w:rsid w:val="009C5DDA"/>
    <w:rsid w:val="009C6F58"/>
    <w:rsid w:val="009C7229"/>
    <w:rsid w:val="009D02AD"/>
    <w:rsid w:val="009D49F1"/>
    <w:rsid w:val="009D4F25"/>
    <w:rsid w:val="009D52C4"/>
    <w:rsid w:val="009E17D0"/>
    <w:rsid w:val="009E4374"/>
    <w:rsid w:val="009E438D"/>
    <w:rsid w:val="009E56DA"/>
    <w:rsid w:val="009E6DA5"/>
    <w:rsid w:val="009F0E03"/>
    <w:rsid w:val="009F41C2"/>
    <w:rsid w:val="009F4E93"/>
    <w:rsid w:val="009F78AA"/>
    <w:rsid w:val="00A009D6"/>
    <w:rsid w:val="00A012D7"/>
    <w:rsid w:val="00A01513"/>
    <w:rsid w:val="00A13698"/>
    <w:rsid w:val="00A144BD"/>
    <w:rsid w:val="00A1470B"/>
    <w:rsid w:val="00A20227"/>
    <w:rsid w:val="00A20F2B"/>
    <w:rsid w:val="00A26DFD"/>
    <w:rsid w:val="00A30944"/>
    <w:rsid w:val="00A3372B"/>
    <w:rsid w:val="00A3520D"/>
    <w:rsid w:val="00A36D06"/>
    <w:rsid w:val="00A376E6"/>
    <w:rsid w:val="00A47A01"/>
    <w:rsid w:val="00A54256"/>
    <w:rsid w:val="00A54512"/>
    <w:rsid w:val="00A57E8D"/>
    <w:rsid w:val="00A60B41"/>
    <w:rsid w:val="00A61A98"/>
    <w:rsid w:val="00A6544C"/>
    <w:rsid w:val="00A70BF3"/>
    <w:rsid w:val="00A72E72"/>
    <w:rsid w:val="00A730D6"/>
    <w:rsid w:val="00A74AC8"/>
    <w:rsid w:val="00A8289F"/>
    <w:rsid w:val="00A82C4D"/>
    <w:rsid w:val="00A83AEF"/>
    <w:rsid w:val="00A84120"/>
    <w:rsid w:val="00A85AF0"/>
    <w:rsid w:val="00A86526"/>
    <w:rsid w:val="00A92190"/>
    <w:rsid w:val="00A9219C"/>
    <w:rsid w:val="00A938C4"/>
    <w:rsid w:val="00AA1070"/>
    <w:rsid w:val="00AB0667"/>
    <w:rsid w:val="00AB39DF"/>
    <w:rsid w:val="00AB45D5"/>
    <w:rsid w:val="00AB562A"/>
    <w:rsid w:val="00AB768A"/>
    <w:rsid w:val="00AC00CC"/>
    <w:rsid w:val="00AC15CC"/>
    <w:rsid w:val="00AC2644"/>
    <w:rsid w:val="00AD5411"/>
    <w:rsid w:val="00AD6C26"/>
    <w:rsid w:val="00AE17F1"/>
    <w:rsid w:val="00AE6BE9"/>
    <w:rsid w:val="00AE71D7"/>
    <w:rsid w:val="00AF14B2"/>
    <w:rsid w:val="00AF52BA"/>
    <w:rsid w:val="00AF67D2"/>
    <w:rsid w:val="00B01EB6"/>
    <w:rsid w:val="00B05793"/>
    <w:rsid w:val="00B1352D"/>
    <w:rsid w:val="00B24093"/>
    <w:rsid w:val="00B31B62"/>
    <w:rsid w:val="00B3298F"/>
    <w:rsid w:val="00B3340E"/>
    <w:rsid w:val="00B3459F"/>
    <w:rsid w:val="00B34D2D"/>
    <w:rsid w:val="00B34DA2"/>
    <w:rsid w:val="00B34FE5"/>
    <w:rsid w:val="00B355DC"/>
    <w:rsid w:val="00B3714F"/>
    <w:rsid w:val="00B37A2A"/>
    <w:rsid w:val="00B40D5F"/>
    <w:rsid w:val="00B438FD"/>
    <w:rsid w:val="00B465C6"/>
    <w:rsid w:val="00B50108"/>
    <w:rsid w:val="00B60224"/>
    <w:rsid w:val="00B6170B"/>
    <w:rsid w:val="00B61B50"/>
    <w:rsid w:val="00B63EEF"/>
    <w:rsid w:val="00B65C6D"/>
    <w:rsid w:val="00B70481"/>
    <w:rsid w:val="00B712ED"/>
    <w:rsid w:val="00B72179"/>
    <w:rsid w:val="00B73881"/>
    <w:rsid w:val="00B738C6"/>
    <w:rsid w:val="00B73A67"/>
    <w:rsid w:val="00B73DE9"/>
    <w:rsid w:val="00B74795"/>
    <w:rsid w:val="00B75B86"/>
    <w:rsid w:val="00B76396"/>
    <w:rsid w:val="00B77D8C"/>
    <w:rsid w:val="00B8058E"/>
    <w:rsid w:val="00B815FE"/>
    <w:rsid w:val="00B821EA"/>
    <w:rsid w:val="00B82AE7"/>
    <w:rsid w:val="00B83709"/>
    <w:rsid w:val="00B83FD4"/>
    <w:rsid w:val="00B847FE"/>
    <w:rsid w:val="00B8518E"/>
    <w:rsid w:val="00B925F4"/>
    <w:rsid w:val="00B94838"/>
    <w:rsid w:val="00B96DE2"/>
    <w:rsid w:val="00B971D5"/>
    <w:rsid w:val="00BA36FD"/>
    <w:rsid w:val="00BA68FB"/>
    <w:rsid w:val="00BB0023"/>
    <w:rsid w:val="00BB0108"/>
    <w:rsid w:val="00BB23EB"/>
    <w:rsid w:val="00BB3843"/>
    <w:rsid w:val="00BB3CF8"/>
    <w:rsid w:val="00BC13EA"/>
    <w:rsid w:val="00BC4D80"/>
    <w:rsid w:val="00BD03F4"/>
    <w:rsid w:val="00BD284A"/>
    <w:rsid w:val="00BD3523"/>
    <w:rsid w:val="00BD3699"/>
    <w:rsid w:val="00BD3CC2"/>
    <w:rsid w:val="00BD44F7"/>
    <w:rsid w:val="00BD4602"/>
    <w:rsid w:val="00BD52D8"/>
    <w:rsid w:val="00BD6874"/>
    <w:rsid w:val="00BE2A51"/>
    <w:rsid w:val="00BE3B81"/>
    <w:rsid w:val="00BE6A0D"/>
    <w:rsid w:val="00BE70FB"/>
    <w:rsid w:val="00BF01AD"/>
    <w:rsid w:val="00BF18AE"/>
    <w:rsid w:val="00BF199F"/>
    <w:rsid w:val="00BF1C30"/>
    <w:rsid w:val="00BF6F6F"/>
    <w:rsid w:val="00BF786A"/>
    <w:rsid w:val="00C03D43"/>
    <w:rsid w:val="00C056AD"/>
    <w:rsid w:val="00C104EB"/>
    <w:rsid w:val="00C12C38"/>
    <w:rsid w:val="00C13EC2"/>
    <w:rsid w:val="00C209D3"/>
    <w:rsid w:val="00C215E0"/>
    <w:rsid w:val="00C228DF"/>
    <w:rsid w:val="00C22D5E"/>
    <w:rsid w:val="00C24CF8"/>
    <w:rsid w:val="00C25343"/>
    <w:rsid w:val="00C25C48"/>
    <w:rsid w:val="00C30B1F"/>
    <w:rsid w:val="00C31FBA"/>
    <w:rsid w:val="00C324C7"/>
    <w:rsid w:val="00C35D54"/>
    <w:rsid w:val="00C37BB3"/>
    <w:rsid w:val="00C409A1"/>
    <w:rsid w:val="00C41873"/>
    <w:rsid w:val="00C444B4"/>
    <w:rsid w:val="00C4480A"/>
    <w:rsid w:val="00C46252"/>
    <w:rsid w:val="00C46D2F"/>
    <w:rsid w:val="00C47B33"/>
    <w:rsid w:val="00C5107A"/>
    <w:rsid w:val="00C51C7C"/>
    <w:rsid w:val="00C60374"/>
    <w:rsid w:val="00C648D2"/>
    <w:rsid w:val="00C64C4B"/>
    <w:rsid w:val="00C65D19"/>
    <w:rsid w:val="00C721B7"/>
    <w:rsid w:val="00C72F93"/>
    <w:rsid w:val="00C760E0"/>
    <w:rsid w:val="00C76117"/>
    <w:rsid w:val="00C76DF7"/>
    <w:rsid w:val="00C77982"/>
    <w:rsid w:val="00C81621"/>
    <w:rsid w:val="00C81C09"/>
    <w:rsid w:val="00C82D45"/>
    <w:rsid w:val="00C85B12"/>
    <w:rsid w:val="00C86A5A"/>
    <w:rsid w:val="00C871F2"/>
    <w:rsid w:val="00C90DAD"/>
    <w:rsid w:val="00C90FBD"/>
    <w:rsid w:val="00C91420"/>
    <w:rsid w:val="00C932D2"/>
    <w:rsid w:val="00C97C16"/>
    <w:rsid w:val="00CA6E95"/>
    <w:rsid w:val="00CA70DA"/>
    <w:rsid w:val="00CB064D"/>
    <w:rsid w:val="00CB0973"/>
    <w:rsid w:val="00CB1CA6"/>
    <w:rsid w:val="00CB1F2B"/>
    <w:rsid w:val="00CB27DB"/>
    <w:rsid w:val="00CB2F27"/>
    <w:rsid w:val="00CB3FA6"/>
    <w:rsid w:val="00CB4C31"/>
    <w:rsid w:val="00CB5761"/>
    <w:rsid w:val="00CB5775"/>
    <w:rsid w:val="00CC0843"/>
    <w:rsid w:val="00CC3219"/>
    <w:rsid w:val="00CC4E7B"/>
    <w:rsid w:val="00CC550D"/>
    <w:rsid w:val="00CC57E5"/>
    <w:rsid w:val="00CC6A1D"/>
    <w:rsid w:val="00CC6D79"/>
    <w:rsid w:val="00CD2A95"/>
    <w:rsid w:val="00CD38DA"/>
    <w:rsid w:val="00CD412A"/>
    <w:rsid w:val="00CD7735"/>
    <w:rsid w:val="00CE2D1D"/>
    <w:rsid w:val="00CE665D"/>
    <w:rsid w:val="00CE71D9"/>
    <w:rsid w:val="00CE7F99"/>
    <w:rsid w:val="00CF0346"/>
    <w:rsid w:val="00CF04E8"/>
    <w:rsid w:val="00CF0A8D"/>
    <w:rsid w:val="00CF1045"/>
    <w:rsid w:val="00CF1390"/>
    <w:rsid w:val="00CF2442"/>
    <w:rsid w:val="00CF2DEB"/>
    <w:rsid w:val="00D03B8F"/>
    <w:rsid w:val="00D04CE0"/>
    <w:rsid w:val="00D060B1"/>
    <w:rsid w:val="00D061F9"/>
    <w:rsid w:val="00D06BAA"/>
    <w:rsid w:val="00D072FA"/>
    <w:rsid w:val="00D11668"/>
    <w:rsid w:val="00D12EB0"/>
    <w:rsid w:val="00D173C9"/>
    <w:rsid w:val="00D25985"/>
    <w:rsid w:val="00D27C22"/>
    <w:rsid w:val="00D30945"/>
    <w:rsid w:val="00D364C9"/>
    <w:rsid w:val="00D4073F"/>
    <w:rsid w:val="00D42CBD"/>
    <w:rsid w:val="00D44825"/>
    <w:rsid w:val="00D44BCB"/>
    <w:rsid w:val="00D509BC"/>
    <w:rsid w:val="00D53CB5"/>
    <w:rsid w:val="00D53E53"/>
    <w:rsid w:val="00D5577A"/>
    <w:rsid w:val="00D56685"/>
    <w:rsid w:val="00D56D5A"/>
    <w:rsid w:val="00D60967"/>
    <w:rsid w:val="00D614FF"/>
    <w:rsid w:val="00D62472"/>
    <w:rsid w:val="00D66DAC"/>
    <w:rsid w:val="00D7110C"/>
    <w:rsid w:val="00D754DC"/>
    <w:rsid w:val="00D75BF3"/>
    <w:rsid w:val="00D76B85"/>
    <w:rsid w:val="00D80656"/>
    <w:rsid w:val="00D909E6"/>
    <w:rsid w:val="00D92852"/>
    <w:rsid w:val="00D92E1F"/>
    <w:rsid w:val="00D9463D"/>
    <w:rsid w:val="00D94E09"/>
    <w:rsid w:val="00D9580B"/>
    <w:rsid w:val="00DA027A"/>
    <w:rsid w:val="00DA160B"/>
    <w:rsid w:val="00DA2A8F"/>
    <w:rsid w:val="00DA3BE7"/>
    <w:rsid w:val="00DA4B41"/>
    <w:rsid w:val="00DA59A1"/>
    <w:rsid w:val="00DA5E85"/>
    <w:rsid w:val="00DA79A4"/>
    <w:rsid w:val="00DB036C"/>
    <w:rsid w:val="00DB07F3"/>
    <w:rsid w:val="00DB11B0"/>
    <w:rsid w:val="00DB3937"/>
    <w:rsid w:val="00DB5056"/>
    <w:rsid w:val="00DB746D"/>
    <w:rsid w:val="00DC115A"/>
    <w:rsid w:val="00DC3B5C"/>
    <w:rsid w:val="00DD23EA"/>
    <w:rsid w:val="00DD26FD"/>
    <w:rsid w:val="00DD2CC2"/>
    <w:rsid w:val="00DD2CFE"/>
    <w:rsid w:val="00DD37ED"/>
    <w:rsid w:val="00DD40D5"/>
    <w:rsid w:val="00DD6090"/>
    <w:rsid w:val="00DD7358"/>
    <w:rsid w:val="00DE1FAC"/>
    <w:rsid w:val="00DE4973"/>
    <w:rsid w:val="00DE6B0A"/>
    <w:rsid w:val="00DE71E1"/>
    <w:rsid w:val="00DF10EF"/>
    <w:rsid w:val="00DF263A"/>
    <w:rsid w:val="00E02187"/>
    <w:rsid w:val="00E06516"/>
    <w:rsid w:val="00E136B7"/>
    <w:rsid w:val="00E14277"/>
    <w:rsid w:val="00E15788"/>
    <w:rsid w:val="00E1640D"/>
    <w:rsid w:val="00E17CF8"/>
    <w:rsid w:val="00E21761"/>
    <w:rsid w:val="00E2207D"/>
    <w:rsid w:val="00E25B63"/>
    <w:rsid w:val="00E27536"/>
    <w:rsid w:val="00E31172"/>
    <w:rsid w:val="00E36B83"/>
    <w:rsid w:val="00E4041B"/>
    <w:rsid w:val="00E40A92"/>
    <w:rsid w:val="00E40CC0"/>
    <w:rsid w:val="00E502BE"/>
    <w:rsid w:val="00E50CD3"/>
    <w:rsid w:val="00E50D08"/>
    <w:rsid w:val="00E5130C"/>
    <w:rsid w:val="00E5491E"/>
    <w:rsid w:val="00E57186"/>
    <w:rsid w:val="00E60CE2"/>
    <w:rsid w:val="00E61929"/>
    <w:rsid w:val="00E64BB8"/>
    <w:rsid w:val="00E6647D"/>
    <w:rsid w:val="00E701BA"/>
    <w:rsid w:val="00E71C57"/>
    <w:rsid w:val="00E71C6F"/>
    <w:rsid w:val="00E7288B"/>
    <w:rsid w:val="00E7761D"/>
    <w:rsid w:val="00E77F9B"/>
    <w:rsid w:val="00E80B49"/>
    <w:rsid w:val="00E81110"/>
    <w:rsid w:val="00E81BCD"/>
    <w:rsid w:val="00E81F83"/>
    <w:rsid w:val="00E84C57"/>
    <w:rsid w:val="00E85501"/>
    <w:rsid w:val="00E93FE6"/>
    <w:rsid w:val="00E95442"/>
    <w:rsid w:val="00E96247"/>
    <w:rsid w:val="00E97E29"/>
    <w:rsid w:val="00EA0020"/>
    <w:rsid w:val="00EA3925"/>
    <w:rsid w:val="00EB139F"/>
    <w:rsid w:val="00EB66AB"/>
    <w:rsid w:val="00EC01DB"/>
    <w:rsid w:val="00EC178F"/>
    <w:rsid w:val="00EC58B3"/>
    <w:rsid w:val="00EC7D70"/>
    <w:rsid w:val="00ED035E"/>
    <w:rsid w:val="00ED5C60"/>
    <w:rsid w:val="00ED692B"/>
    <w:rsid w:val="00EE2C2C"/>
    <w:rsid w:val="00EE45D1"/>
    <w:rsid w:val="00EE493D"/>
    <w:rsid w:val="00EF0A2C"/>
    <w:rsid w:val="00EF14A2"/>
    <w:rsid w:val="00EF1E5A"/>
    <w:rsid w:val="00EF27F7"/>
    <w:rsid w:val="00EF3579"/>
    <w:rsid w:val="00EF39D9"/>
    <w:rsid w:val="00EF4BC6"/>
    <w:rsid w:val="00F00DAA"/>
    <w:rsid w:val="00F030C8"/>
    <w:rsid w:val="00F07447"/>
    <w:rsid w:val="00F13C9E"/>
    <w:rsid w:val="00F1481B"/>
    <w:rsid w:val="00F14F9B"/>
    <w:rsid w:val="00F22ED7"/>
    <w:rsid w:val="00F24CF6"/>
    <w:rsid w:val="00F305B2"/>
    <w:rsid w:val="00F34C90"/>
    <w:rsid w:val="00F35F1E"/>
    <w:rsid w:val="00F36EFD"/>
    <w:rsid w:val="00F40594"/>
    <w:rsid w:val="00F409D9"/>
    <w:rsid w:val="00F4185A"/>
    <w:rsid w:val="00F4417D"/>
    <w:rsid w:val="00F46B1E"/>
    <w:rsid w:val="00F5276B"/>
    <w:rsid w:val="00F574F0"/>
    <w:rsid w:val="00F579D6"/>
    <w:rsid w:val="00F61DDD"/>
    <w:rsid w:val="00F62F40"/>
    <w:rsid w:val="00F63C1E"/>
    <w:rsid w:val="00F64625"/>
    <w:rsid w:val="00F664D5"/>
    <w:rsid w:val="00F67854"/>
    <w:rsid w:val="00F7067D"/>
    <w:rsid w:val="00F71B4B"/>
    <w:rsid w:val="00F71D42"/>
    <w:rsid w:val="00F72E48"/>
    <w:rsid w:val="00F84144"/>
    <w:rsid w:val="00F84398"/>
    <w:rsid w:val="00F84C18"/>
    <w:rsid w:val="00F84FD2"/>
    <w:rsid w:val="00F875F5"/>
    <w:rsid w:val="00F911A0"/>
    <w:rsid w:val="00F91AEE"/>
    <w:rsid w:val="00F9399E"/>
    <w:rsid w:val="00F9647B"/>
    <w:rsid w:val="00F974DE"/>
    <w:rsid w:val="00FA30B6"/>
    <w:rsid w:val="00FA596B"/>
    <w:rsid w:val="00FA7190"/>
    <w:rsid w:val="00FB0E27"/>
    <w:rsid w:val="00FB1818"/>
    <w:rsid w:val="00FB3782"/>
    <w:rsid w:val="00FB43C7"/>
    <w:rsid w:val="00FC179E"/>
    <w:rsid w:val="00FC295F"/>
    <w:rsid w:val="00FC4244"/>
    <w:rsid w:val="00FD3CC3"/>
    <w:rsid w:val="00FD58AC"/>
    <w:rsid w:val="00FD5A14"/>
    <w:rsid w:val="00FD5C88"/>
    <w:rsid w:val="00FD6618"/>
    <w:rsid w:val="00FE3DD2"/>
    <w:rsid w:val="00FE4026"/>
    <w:rsid w:val="00FF28E9"/>
    <w:rsid w:val="00FF42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318612CF"/>
  <w15:chartTrackingRefBased/>
  <w15:docId w15:val="{B97DDF84-9A44-4DDA-81F8-5820FE04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2B9"/>
    <w:rPr>
      <w:sz w:val="28"/>
      <w:szCs w:val="22"/>
      <w:lang w:eastAsia="en-US"/>
    </w:rPr>
  </w:style>
  <w:style w:type="paragraph" w:styleId="Heading3">
    <w:name w:val="heading 3"/>
    <w:basedOn w:val="Normal"/>
    <w:next w:val="Normal"/>
    <w:link w:val="Heading3Char"/>
    <w:qFormat/>
    <w:rsid w:val="00BD52D8"/>
    <w:pPr>
      <w:keepNext/>
      <w:jc w:val="center"/>
      <w:outlineLvl w:val="2"/>
    </w:pPr>
    <w:rPr>
      <w:rFonts w:eastAsia="Times New Roman"/>
      <w:i/>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D52D8"/>
    <w:rPr>
      <w:color w:val="0000FF"/>
      <w:u w:val="single"/>
    </w:rPr>
  </w:style>
  <w:style w:type="paragraph" w:customStyle="1" w:styleId="naisnod">
    <w:name w:val="naisnod"/>
    <w:basedOn w:val="Normal"/>
    <w:rsid w:val="00BD52D8"/>
    <w:pPr>
      <w:spacing w:before="100" w:beforeAutospacing="1" w:after="100" w:afterAutospacing="1"/>
    </w:pPr>
    <w:rPr>
      <w:rFonts w:eastAsia="Times New Roman"/>
      <w:sz w:val="24"/>
      <w:szCs w:val="24"/>
      <w:lang w:eastAsia="lv-LV"/>
    </w:rPr>
  </w:style>
  <w:style w:type="paragraph" w:customStyle="1" w:styleId="naisf">
    <w:name w:val="naisf"/>
    <w:basedOn w:val="Normal"/>
    <w:rsid w:val="00BD52D8"/>
    <w:pPr>
      <w:spacing w:before="100" w:beforeAutospacing="1" w:after="100" w:afterAutospacing="1"/>
    </w:pPr>
    <w:rPr>
      <w:rFonts w:eastAsia="Times New Roman"/>
      <w:sz w:val="24"/>
      <w:szCs w:val="24"/>
      <w:lang w:eastAsia="lv-LV"/>
    </w:rPr>
  </w:style>
  <w:style w:type="paragraph" w:customStyle="1" w:styleId="naisc">
    <w:name w:val="naisc"/>
    <w:basedOn w:val="Normal"/>
    <w:rsid w:val="00BD52D8"/>
    <w:pPr>
      <w:spacing w:before="100" w:beforeAutospacing="1" w:after="100" w:afterAutospacing="1"/>
    </w:pPr>
    <w:rPr>
      <w:rFonts w:eastAsia="Times New Roman"/>
      <w:sz w:val="24"/>
      <w:szCs w:val="24"/>
      <w:lang w:eastAsia="lv-LV"/>
    </w:rPr>
  </w:style>
  <w:style w:type="paragraph" w:customStyle="1" w:styleId="naiskr">
    <w:name w:val="naiskr"/>
    <w:basedOn w:val="Normal"/>
    <w:rsid w:val="00BD52D8"/>
    <w:pPr>
      <w:spacing w:before="100" w:beforeAutospacing="1" w:after="100" w:afterAutospacing="1"/>
    </w:pPr>
    <w:rPr>
      <w:rFonts w:eastAsia="Times New Roman"/>
      <w:sz w:val="24"/>
      <w:szCs w:val="24"/>
      <w:lang w:eastAsia="lv-LV"/>
    </w:rPr>
  </w:style>
  <w:style w:type="paragraph" w:customStyle="1" w:styleId="naislab">
    <w:name w:val="naislab"/>
    <w:basedOn w:val="Normal"/>
    <w:rsid w:val="00BD52D8"/>
    <w:pPr>
      <w:spacing w:before="100" w:beforeAutospacing="1" w:after="100" w:afterAutospacing="1"/>
    </w:pPr>
    <w:rPr>
      <w:rFonts w:eastAsia="Times New Roman"/>
      <w:sz w:val="24"/>
      <w:szCs w:val="24"/>
      <w:lang w:eastAsia="lv-LV"/>
    </w:rPr>
  </w:style>
  <w:style w:type="character" w:customStyle="1" w:styleId="Heading3Char">
    <w:name w:val="Heading 3 Char"/>
    <w:link w:val="Heading3"/>
    <w:rsid w:val="00BD52D8"/>
    <w:rPr>
      <w:rFonts w:eastAsia="Times New Roman" w:cs="Times New Roman"/>
      <w:i/>
      <w:sz w:val="32"/>
      <w:szCs w:val="20"/>
    </w:rPr>
  </w:style>
  <w:style w:type="table" w:styleId="TableGrid">
    <w:name w:val="Table Grid"/>
    <w:basedOn w:val="TableNormal"/>
    <w:uiPriority w:val="59"/>
    <w:rsid w:val="004840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lockText">
    <w:name w:val="Block Text"/>
    <w:basedOn w:val="Normal"/>
    <w:unhideWhenUsed/>
    <w:rsid w:val="004840E5"/>
    <w:pPr>
      <w:spacing w:after="120"/>
      <w:ind w:left="1440" w:right="1440"/>
    </w:pPr>
    <w:rPr>
      <w:rFonts w:eastAsia="Times New Roman"/>
      <w:szCs w:val="20"/>
    </w:rPr>
  </w:style>
  <w:style w:type="paragraph" w:customStyle="1" w:styleId="mans">
    <w:name w:val="mans"/>
    <w:basedOn w:val="Normal"/>
    <w:qFormat/>
    <w:rsid w:val="004840E5"/>
    <w:pPr>
      <w:spacing w:before="240" w:after="240"/>
      <w:ind w:firstLine="567"/>
      <w:jc w:val="both"/>
    </w:pPr>
    <w:rPr>
      <w:rFonts w:eastAsia="Times New Roman"/>
      <w:szCs w:val="24"/>
      <w:lang w:val="en-GB"/>
    </w:rPr>
  </w:style>
  <w:style w:type="paragraph" w:styleId="Header">
    <w:name w:val="header"/>
    <w:basedOn w:val="Normal"/>
    <w:link w:val="HeaderChar"/>
    <w:uiPriority w:val="99"/>
    <w:unhideWhenUsed/>
    <w:rsid w:val="00B70481"/>
    <w:pPr>
      <w:tabs>
        <w:tab w:val="center" w:pos="4153"/>
        <w:tab w:val="right" w:pos="8306"/>
      </w:tabs>
    </w:pPr>
  </w:style>
  <w:style w:type="character" w:customStyle="1" w:styleId="HeaderChar">
    <w:name w:val="Header Char"/>
    <w:basedOn w:val="DefaultParagraphFont"/>
    <w:link w:val="Header"/>
    <w:uiPriority w:val="99"/>
    <w:rsid w:val="00B70481"/>
  </w:style>
  <w:style w:type="paragraph" w:styleId="Footer">
    <w:name w:val="footer"/>
    <w:basedOn w:val="Normal"/>
    <w:link w:val="FooterChar"/>
    <w:unhideWhenUsed/>
    <w:rsid w:val="00B70481"/>
    <w:pPr>
      <w:tabs>
        <w:tab w:val="center" w:pos="4153"/>
        <w:tab w:val="right" w:pos="8306"/>
      </w:tabs>
    </w:pPr>
  </w:style>
  <w:style w:type="character" w:customStyle="1" w:styleId="FooterChar">
    <w:name w:val="Footer Char"/>
    <w:basedOn w:val="DefaultParagraphFont"/>
    <w:link w:val="Footer"/>
    <w:rsid w:val="00B70481"/>
  </w:style>
  <w:style w:type="paragraph" w:styleId="BalloonText">
    <w:name w:val="Balloon Text"/>
    <w:basedOn w:val="Normal"/>
    <w:link w:val="BalloonTextChar"/>
    <w:uiPriority w:val="99"/>
    <w:semiHidden/>
    <w:unhideWhenUsed/>
    <w:rsid w:val="00F67854"/>
    <w:rPr>
      <w:rFonts w:ascii="Tahoma" w:hAnsi="Tahoma" w:cs="Tahoma"/>
      <w:sz w:val="16"/>
      <w:szCs w:val="16"/>
    </w:rPr>
  </w:style>
  <w:style w:type="character" w:customStyle="1" w:styleId="BalloonTextChar">
    <w:name w:val="Balloon Text Char"/>
    <w:link w:val="BalloonText"/>
    <w:uiPriority w:val="99"/>
    <w:semiHidden/>
    <w:rsid w:val="00F67854"/>
    <w:rPr>
      <w:rFonts w:ascii="Tahoma" w:hAnsi="Tahoma" w:cs="Tahoma"/>
      <w:sz w:val="16"/>
      <w:szCs w:val="16"/>
      <w:lang w:eastAsia="en-US"/>
    </w:rPr>
  </w:style>
  <w:style w:type="paragraph" w:styleId="NoSpacing">
    <w:name w:val="No Spacing"/>
    <w:uiPriority w:val="1"/>
    <w:qFormat/>
    <w:rsid w:val="00D364C9"/>
    <w:rPr>
      <w:rFonts w:eastAsia="Times New Roman"/>
      <w:sz w:val="24"/>
      <w:szCs w:val="24"/>
      <w:lang w:val="en-GB" w:eastAsia="en-US"/>
    </w:rPr>
  </w:style>
  <w:style w:type="paragraph" w:styleId="BodyTextIndent">
    <w:name w:val="Body Text Indent"/>
    <w:basedOn w:val="Normal"/>
    <w:link w:val="BodyTextIndentChar"/>
    <w:uiPriority w:val="99"/>
    <w:semiHidden/>
    <w:unhideWhenUsed/>
    <w:rsid w:val="000E3105"/>
    <w:pPr>
      <w:spacing w:after="120"/>
      <w:ind w:left="283"/>
    </w:pPr>
  </w:style>
  <w:style w:type="character" w:customStyle="1" w:styleId="BodyTextIndentChar">
    <w:name w:val="Body Text Indent Char"/>
    <w:link w:val="BodyTextIndent"/>
    <w:uiPriority w:val="99"/>
    <w:semiHidden/>
    <w:rsid w:val="000E3105"/>
    <w:rPr>
      <w:sz w:val="28"/>
      <w:szCs w:val="22"/>
      <w:lang w:eastAsia="en-US"/>
    </w:rPr>
  </w:style>
  <w:style w:type="numbering" w:customStyle="1" w:styleId="Style1">
    <w:name w:val="Style1"/>
    <w:uiPriority w:val="99"/>
    <w:rsid w:val="000E3105"/>
    <w:pPr>
      <w:numPr>
        <w:numId w:val="1"/>
      </w:numPr>
    </w:pPr>
  </w:style>
  <w:style w:type="paragraph" w:styleId="ListParagraph">
    <w:name w:val="List Paragraph"/>
    <w:basedOn w:val="Normal"/>
    <w:uiPriority w:val="34"/>
    <w:qFormat/>
    <w:rsid w:val="00556D6B"/>
    <w:pPr>
      <w:spacing w:after="200" w:line="276" w:lineRule="auto"/>
      <w:ind w:left="720"/>
      <w:contextualSpacing/>
    </w:pPr>
    <w:rPr>
      <w:rFonts w:ascii="Calibri" w:hAnsi="Calibri"/>
      <w:sz w:val="22"/>
    </w:rPr>
  </w:style>
  <w:style w:type="paragraph" w:styleId="BodyText2">
    <w:name w:val="Body Text 2"/>
    <w:basedOn w:val="Normal"/>
    <w:link w:val="BodyText2Char"/>
    <w:uiPriority w:val="99"/>
    <w:unhideWhenUsed/>
    <w:rsid w:val="007F61D6"/>
    <w:pPr>
      <w:spacing w:after="120" w:line="480" w:lineRule="auto"/>
    </w:pPr>
  </w:style>
  <w:style w:type="character" w:customStyle="1" w:styleId="BodyText2Char">
    <w:name w:val="Body Text 2 Char"/>
    <w:link w:val="BodyText2"/>
    <w:uiPriority w:val="99"/>
    <w:rsid w:val="007F61D6"/>
    <w:rPr>
      <w:sz w:val="28"/>
      <w:szCs w:val="22"/>
      <w:lang w:eastAsia="en-US"/>
    </w:rPr>
  </w:style>
  <w:style w:type="paragraph" w:styleId="Title">
    <w:name w:val="Title"/>
    <w:basedOn w:val="Normal"/>
    <w:link w:val="TitleChar"/>
    <w:qFormat/>
    <w:rsid w:val="00654639"/>
    <w:pPr>
      <w:jc w:val="center"/>
    </w:pPr>
    <w:rPr>
      <w:rFonts w:eastAsia="Times New Roman"/>
      <w:b/>
      <w:sz w:val="24"/>
      <w:szCs w:val="24"/>
    </w:rPr>
  </w:style>
  <w:style w:type="character" w:customStyle="1" w:styleId="TitleChar">
    <w:name w:val="Title Char"/>
    <w:link w:val="Title"/>
    <w:rsid w:val="00654639"/>
    <w:rPr>
      <w:rFonts w:eastAsia="Times New Roman"/>
      <w:b/>
      <w:sz w:val="24"/>
      <w:szCs w:val="24"/>
      <w:lang w:eastAsia="en-US"/>
    </w:rPr>
  </w:style>
  <w:style w:type="paragraph" w:styleId="BodyText">
    <w:name w:val="Body Text"/>
    <w:basedOn w:val="Normal"/>
    <w:link w:val="BodyTextChar"/>
    <w:uiPriority w:val="99"/>
    <w:unhideWhenUsed/>
    <w:rsid w:val="00654639"/>
    <w:pPr>
      <w:spacing w:after="120"/>
    </w:pPr>
    <w:rPr>
      <w:rFonts w:eastAsia="Times New Roman"/>
      <w:sz w:val="24"/>
      <w:szCs w:val="24"/>
    </w:rPr>
  </w:style>
  <w:style w:type="character" w:customStyle="1" w:styleId="BodyTextChar">
    <w:name w:val="Body Text Char"/>
    <w:link w:val="BodyText"/>
    <w:uiPriority w:val="99"/>
    <w:rsid w:val="00654639"/>
    <w:rPr>
      <w:rFonts w:eastAsia="Times New Roman"/>
      <w:sz w:val="24"/>
      <w:szCs w:val="24"/>
      <w:lang w:eastAsia="en-US"/>
    </w:rPr>
  </w:style>
  <w:style w:type="paragraph" w:styleId="NormalWeb">
    <w:name w:val="Normal (Web)"/>
    <w:basedOn w:val="Normal"/>
    <w:uiPriority w:val="99"/>
    <w:unhideWhenUsed/>
    <w:rsid w:val="001171B4"/>
    <w:pPr>
      <w:spacing w:before="75" w:after="75"/>
      <w:ind w:firstLine="375"/>
      <w:jc w:val="both"/>
    </w:pPr>
    <w:rPr>
      <w:sz w:val="24"/>
      <w:szCs w:val="24"/>
      <w:lang w:val="en-US"/>
    </w:rPr>
  </w:style>
  <w:style w:type="paragraph" w:styleId="PlainText">
    <w:name w:val="Plain Text"/>
    <w:basedOn w:val="Normal"/>
    <w:link w:val="PlainTextChar"/>
    <w:uiPriority w:val="99"/>
    <w:semiHidden/>
    <w:unhideWhenUsed/>
    <w:rsid w:val="00A36D06"/>
    <w:rPr>
      <w:rFonts w:ascii="Calibri" w:hAnsi="Calibri"/>
      <w:sz w:val="22"/>
    </w:rPr>
  </w:style>
  <w:style w:type="character" w:customStyle="1" w:styleId="PlainTextChar">
    <w:name w:val="Plain Text Char"/>
    <w:link w:val="PlainText"/>
    <w:uiPriority w:val="99"/>
    <w:semiHidden/>
    <w:rsid w:val="00A36D06"/>
    <w:rPr>
      <w:rFonts w:ascii="Calibri" w:hAnsi="Calibri"/>
      <w:sz w:val="22"/>
      <w:szCs w:val="22"/>
      <w:lang w:eastAsia="en-US"/>
    </w:rPr>
  </w:style>
  <w:style w:type="paragraph" w:styleId="FootnoteText">
    <w:name w:val="footnote text"/>
    <w:basedOn w:val="Normal"/>
    <w:link w:val="FootnoteTextChar"/>
    <w:unhideWhenUsed/>
    <w:rsid w:val="001E5DBB"/>
    <w:pPr>
      <w:widowControl w:val="0"/>
      <w:spacing w:after="200" w:line="276" w:lineRule="auto"/>
    </w:pPr>
    <w:rPr>
      <w:rFonts w:ascii="Calibri" w:hAnsi="Calibri"/>
      <w:sz w:val="20"/>
      <w:szCs w:val="20"/>
      <w:lang w:val="en-US"/>
    </w:rPr>
  </w:style>
  <w:style w:type="character" w:customStyle="1" w:styleId="FootnoteTextChar">
    <w:name w:val="Footnote Text Char"/>
    <w:link w:val="FootnoteText"/>
    <w:rsid w:val="001E5DBB"/>
    <w:rPr>
      <w:rFonts w:ascii="Calibri" w:hAnsi="Calibri"/>
      <w:lang w:val="en-US" w:eastAsia="en-US"/>
    </w:rPr>
  </w:style>
  <w:style w:type="character" w:styleId="FootnoteReference">
    <w:name w:val="footnote reference"/>
    <w:unhideWhenUsed/>
    <w:rsid w:val="001E5DBB"/>
    <w:rPr>
      <w:vertAlign w:val="superscript"/>
    </w:rPr>
  </w:style>
  <w:style w:type="character" w:styleId="CommentReference">
    <w:name w:val="annotation reference"/>
    <w:uiPriority w:val="99"/>
    <w:semiHidden/>
    <w:unhideWhenUsed/>
    <w:rsid w:val="005955DF"/>
    <w:rPr>
      <w:sz w:val="16"/>
      <w:szCs w:val="16"/>
    </w:rPr>
  </w:style>
  <w:style w:type="paragraph" w:styleId="CommentText">
    <w:name w:val="annotation text"/>
    <w:basedOn w:val="Normal"/>
    <w:link w:val="CommentTextChar"/>
    <w:uiPriority w:val="99"/>
    <w:semiHidden/>
    <w:unhideWhenUsed/>
    <w:rsid w:val="005955DF"/>
    <w:rPr>
      <w:sz w:val="20"/>
      <w:szCs w:val="20"/>
    </w:rPr>
  </w:style>
  <w:style w:type="character" w:customStyle="1" w:styleId="CommentTextChar">
    <w:name w:val="Comment Text Char"/>
    <w:link w:val="CommentText"/>
    <w:uiPriority w:val="99"/>
    <w:semiHidden/>
    <w:rsid w:val="005955DF"/>
    <w:rPr>
      <w:lang w:eastAsia="en-US"/>
    </w:rPr>
  </w:style>
  <w:style w:type="paragraph" w:styleId="CommentSubject">
    <w:name w:val="annotation subject"/>
    <w:basedOn w:val="CommentText"/>
    <w:next w:val="CommentText"/>
    <w:link w:val="CommentSubjectChar"/>
    <w:uiPriority w:val="99"/>
    <w:semiHidden/>
    <w:unhideWhenUsed/>
    <w:rsid w:val="005955DF"/>
    <w:rPr>
      <w:b/>
      <w:bCs/>
    </w:rPr>
  </w:style>
  <w:style w:type="character" w:customStyle="1" w:styleId="CommentSubjectChar">
    <w:name w:val="Comment Subject Char"/>
    <w:link w:val="CommentSubject"/>
    <w:uiPriority w:val="99"/>
    <w:semiHidden/>
    <w:rsid w:val="005955DF"/>
    <w:rPr>
      <w:b/>
      <w:bCs/>
      <w:lang w:eastAsia="en-US"/>
    </w:rPr>
  </w:style>
  <w:style w:type="paragraph" w:customStyle="1" w:styleId="paragraph">
    <w:name w:val="paragraph"/>
    <w:basedOn w:val="Normal"/>
    <w:rsid w:val="00DB07F3"/>
    <w:pPr>
      <w:spacing w:before="100" w:beforeAutospacing="1" w:after="100" w:afterAutospacing="1"/>
    </w:pPr>
    <w:rPr>
      <w:rFonts w:eastAsia="Times New Roman"/>
      <w:sz w:val="24"/>
      <w:szCs w:val="24"/>
      <w:lang w:val="en-US"/>
    </w:rPr>
  </w:style>
  <w:style w:type="character" w:customStyle="1" w:styleId="eop">
    <w:name w:val="eop"/>
    <w:rsid w:val="00DB0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622729">
      <w:bodyDiv w:val="1"/>
      <w:marLeft w:val="0"/>
      <w:marRight w:val="0"/>
      <w:marTop w:val="0"/>
      <w:marBottom w:val="0"/>
      <w:divBdr>
        <w:top w:val="none" w:sz="0" w:space="0" w:color="auto"/>
        <w:left w:val="none" w:sz="0" w:space="0" w:color="auto"/>
        <w:bottom w:val="none" w:sz="0" w:space="0" w:color="auto"/>
        <w:right w:val="none" w:sz="0" w:space="0" w:color="auto"/>
      </w:divBdr>
    </w:div>
    <w:div w:id="311328613">
      <w:bodyDiv w:val="1"/>
      <w:marLeft w:val="0"/>
      <w:marRight w:val="0"/>
      <w:marTop w:val="0"/>
      <w:marBottom w:val="0"/>
      <w:divBdr>
        <w:top w:val="none" w:sz="0" w:space="0" w:color="auto"/>
        <w:left w:val="none" w:sz="0" w:space="0" w:color="auto"/>
        <w:bottom w:val="none" w:sz="0" w:space="0" w:color="auto"/>
        <w:right w:val="none" w:sz="0" w:space="0" w:color="auto"/>
      </w:divBdr>
    </w:div>
    <w:div w:id="400258050">
      <w:bodyDiv w:val="1"/>
      <w:marLeft w:val="0"/>
      <w:marRight w:val="0"/>
      <w:marTop w:val="0"/>
      <w:marBottom w:val="0"/>
      <w:divBdr>
        <w:top w:val="none" w:sz="0" w:space="0" w:color="auto"/>
        <w:left w:val="none" w:sz="0" w:space="0" w:color="auto"/>
        <w:bottom w:val="none" w:sz="0" w:space="0" w:color="auto"/>
        <w:right w:val="none" w:sz="0" w:space="0" w:color="auto"/>
      </w:divBdr>
    </w:div>
    <w:div w:id="409469165">
      <w:bodyDiv w:val="1"/>
      <w:marLeft w:val="0"/>
      <w:marRight w:val="0"/>
      <w:marTop w:val="0"/>
      <w:marBottom w:val="0"/>
      <w:divBdr>
        <w:top w:val="none" w:sz="0" w:space="0" w:color="auto"/>
        <w:left w:val="none" w:sz="0" w:space="0" w:color="auto"/>
        <w:bottom w:val="none" w:sz="0" w:space="0" w:color="auto"/>
        <w:right w:val="none" w:sz="0" w:space="0" w:color="auto"/>
      </w:divBdr>
    </w:div>
    <w:div w:id="492338689">
      <w:bodyDiv w:val="1"/>
      <w:marLeft w:val="0"/>
      <w:marRight w:val="0"/>
      <w:marTop w:val="0"/>
      <w:marBottom w:val="0"/>
      <w:divBdr>
        <w:top w:val="none" w:sz="0" w:space="0" w:color="auto"/>
        <w:left w:val="none" w:sz="0" w:space="0" w:color="auto"/>
        <w:bottom w:val="none" w:sz="0" w:space="0" w:color="auto"/>
        <w:right w:val="none" w:sz="0" w:space="0" w:color="auto"/>
      </w:divBdr>
    </w:div>
    <w:div w:id="517350905">
      <w:bodyDiv w:val="1"/>
      <w:marLeft w:val="0"/>
      <w:marRight w:val="0"/>
      <w:marTop w:val="0"/>
      <w:marBottom w:val="0"/>
      <w:divBdr>
        <w:top w:val="none" w:sz="0" w:space="0" w:color="auto"/>
        <w:left w:val="none" w:sz="0" w:space="0" w:color="auto"/>
        <w:bottom w:val="none" w:sz="0" w:space="0" w:color="auto"/>
        <w:right w:val="none" w:sz="0" w:space="0" w:color="auto"/>
      </w:divBdr>
    </w:div>
    <w:div w:id="610626515">
      <w:bodyDiv w:val="1"/>
      <w:marLeft w:val="0"/>
      <w:marRight w:val="0"/>
      <w:marTop w:val="0"/>
      <w:marBottom w:val="0"/>
      <w:divBdr>
        <w:top w:val="none" w:sz="0" w:space="0" w:color="auto"/>
        <w:left w:val="none" w:sz="0" w:space="0" w:color="auto"/>
        <w:bottom w:val="none" w:sz="0" w:space="0" w:color="auto"/>
        <w:right w:val="none" w:sz="0" w:space="0" w:color="auto"/>
      </w:divBdr>
    </w:div>
    <w:div w:id="742875006">
      <w:bodyDiv w:val="1"/>
      <w:marLeft w:val="0"/>
      <w:marRight w:val="0"/>
      <w:marTop w:val="0"/>
      <w:marBottom w:val="0"/>
      <w:divBdr>
        <w:top w:val="none" w:sz="0" w:space="0" w:color="auto"/>
        <w:left w:val="none" w:sz="0" w:space="0" w:color="auto"/>
        <w:bottom w:val="none" w:sz="0" w:space="0" w:color="auto"/>
        <w:right w:val="none" w:sz="0" w:space="0" w:color="auto"/>
      </w:divBdr>
    </w:div>
    <w:div w:id="845559305">
      <w:bodyDiv w:val="1"/>
      <w:marLeft w:val="0"/>
      <w:marRight w:val="0"/>
      <w:marTop w:val="0"/>
      <w:marBottom w:val="0"/>
      <w:divBdr>
        <w:top w:val="none" w:sz="0" w:space="0" w:color="auto"/>
        <w:left w:val="none" w:sz="0" w:space="0" w:color="auto"/>
        <w:bottom w:val="none" w:sz="0" w:space="0" w:color="auto"/>
        <w:right w:val="none" w:sz="0" w:space="0" w:color="auto"/>
      </w:divBdr>
    </w:div>
    <w:div w:id="918909398">
      <w:bodyDiv w:val="1"/>
      <w:marLeft w:val="0"/>
      <w:marRight w:val="0"/>
      <w:marTop w:val="0"/>
      <w:marBottom w:val="0"/>
      <w:divBdr>
        <w:top w:val="none" w:sz="0" w:space="0" w:color="auto"/>
        <w:left w:val="none" w:sz="0" w:space="0" w:color="auto"/>
        <w:bottom w:val="none" w:sz="0" w:space="0" w:color="auto"/>
        <w:right w:val="none" w:sz="0" w:space="0" w:color="auto"/>
      </w:divBdr>
    </w:div>
    <w:div w:id="958880181">
      <w:bodyDiv w:val="1"/>
      <w:marLeft w:val="0"/>
      <w:marRight w:val="0"/>
      <w:marTop w:val="0"/>
      <w:marBottom w:val="0"/>
      <w:divBdr>
        <w:top w:val="none" w:sz="0" w:space="0" w:color="auto"/>
        <w:left w:val="none" w:sz="0" w:space="0" w:color="auto"/>
        <w:bottom w:val="none" w:sz="0" w:space="0" w:color="auto"/>
        <w:right w:val="none" w:sz="0" w:space="0" w:color="auto"/>
      </w:divBdr>
    </w:div>
    <w:div w:id="1008948240">
      <w:bodyDiv w:val="1"/>
      <w:marLeft w:val="0"/>
      <w:marRight w:val="0"/>
      <w:marTop w:val="0"/>
      <w:marBottom w:val="0"/>
      <w:divBdr>
        <w:top w:val="none" w:sz="0" w:space="0" w:color="auto"/>
        <w:left w:val="none" w:sz="0" w:space="0" w:color="auto"/>
        <w:bottom w:val="none" w:sz="0" w:space="0" w:color="auto"/>
        <w:right w:val="none" w:sz="0" w:space="0" w:color="auto"/>
      </w:divBdr>
    </w:div>
    <w:div w:id="1017122059">
      <w:bodyDiv w:val="1"/>
      <w:marLeft w:val="0"/>
      <w:marRight w:val="0"/>
      <w:marTop w:val="0"/>
      <w:marBottom w:val="0"/>
      <w:divBdr>
        <w:top w:val="none" w:sz="0" w:space="0" w:color="auto"/>
        <w:left w:val="none" w:sz="0" w:space="0" w:color="auto"/>
        <w:bottom w:val="none" w:sz="0" w:space="0" w:color="auto"/>
        <w:right w:val="none" w:sz="0" w:space="0" w:color="auto"/>
      </w:divBdr>
      <w:divsChild>
        <w:div w:id="1885168934">
          <w:marLeft w:val="0"/>
          <w:marRight w:val="0"/>
          <w:marTop w:val="0"/>
          <w:marBottom w:val="0"/>
          <w:divBdr>
            <w:top w:val="none" w:sz="0" w:space="0" w:color="auto"/>
            <w:left w:val="none" w:sz="0" w:space="0" w:color="auto"/>
            <w:bottom w:val="none" w:sz="0" w:space="0" w:color="auto"/>
            <w:right w:val="none" w:sz="0" w:space="0" w:color="auto"/>
          </w:divBdr>
        </w:div>
      </w:divsChild>
    </w:div>
    <w:div w:id="1218131757">
      <w:bodyDiv w:val="1"/>
      <w:marLeft w:val="0"/>
      <w:marRight w:val="0"/>
      <w:marTop w:val="0"/>
      <w:marBottom w:val="0"/>
      <w:divBdr>
        <w:top w:val="none" w:sz="0" w:space="0" w:color="auto"/>
        <w:left w:val="none" w:sz="0" w:space="0" w:color="auto"/>
        <w:bottom w:val="none" w:sz="0" w:space="0" w:color="auto"/>
        <w:right w:val="none" w:sz="0" w:space="0" w:color="auto"/>
      </w:divBdr>
    </w:div>
    <w:div w:id="1250577886">
      <w:bodyDiv w:val="1"/>
      <w:marLeft w:val="0"/>
      <w:marRight w:val="0"/>
      <w:marTop w:val="0"/>
      <w:marBottom w:val="0"/>
      <w:divBdr>
        <w:top w:val="none" w:sz="0" w:space="0" w:color="auto"/>
        <w:left w:val="none" w:sz="0" w:space="0" w:color="auto"/>
        <w:bottom w:val="none" w:sz="0" w:space="0" w:color="auto"/>
        <w:right w:val="none" w:sz="0" w:space="0" w:color="auto"/>
      </w:divBdr>
    </w:div>
    <w:div w:id="1264609475">
      <w:bodyDiv w:val="1"/>
      <w:marLeft w:val="0"/>
      <w:marRight w:val="0"/>
      <w:marTop w:val="0"/>
      <w:marBottom w:val="0"/>
      <w:divBdr>
        <w:top w:val="none" w:sz="0" w:space="0" w:color="auto"/>
        <w:left w:val="none" w:sz="0" w:space="0" w:color="auto"/>
        <w:bottom w:val="none" w:sz="0" w:space="0" w:color="auto"/>
        <w:right w:val="none" w:sz="0" w:space="0" w:color="auto"/>
      </w:divBdr>
    </w:div>
    <w:div w:id="1330403428">
      <w:bodyDiv w:val="1"/>
      <w:marLeft w:val="0"/>
      <w:marRight w:val="0"/>
      <w:marTop w:val="0"/>
      <w:marBottom w:val="0"/>
      <w:divBdr>
        <w:top w:val="none" w:sz="0" w:space="0" w:color="auto"/>
        <w:left w:val="none" w:sz="0" w:space="0" w:color="auto"/>
        <w:bottom w:val="none" w:sz="0" w:space="0" w:color="auto"/>
        <w:right w:val="none" w:sz="0" w:space="0" w:color="auto"/>
      </w:divBdr>
    </w:div>
    <w:div w:id="1457409380">
      <w:bodyDiv w:val="1"/>
      <w:marLeft w:val="0"/>
      <w:marRight w:val="0"/>
      <w:marTop w:val="0"/>
      <w:marBottom w:val="0"/>
      <w:divBdr>
        <w:top w:val="none" w:sz="0" w:space="0" w:color="auto"/>
        <w:left w:val="none" w:sz="0" w:space="0" w:color="auto"/>
        <w:bottom w:val="none" w:sz="0" w:space="0" w:color="auto"/>
        <w:right w:val="none" w:sz="0" w:space="0" w:color="auto"/>
      </w:divBdr>
    </w:div>
    <w:div w:id="1459446982">
      <w:bodyDiv w:val="1"/>
      <w:marLeft w:val="0"/>
      <w:marRight w:val="0"/>
      <w:marTop w:val="0"/>
      <w:marBottom w:val="0"/>
      <w:divBdr>
        <w:top w:val="none" w:sz="0" w:space="0" w:color="auto"/>
        <w:left w:val="none" w:sz="0" w:space="0" w:color="auto"/>
        <w:bottom w:val="none" w:sz="0" w:space="0" w:color="auto"/>
        <w:right w:val="none" w:sz="0" w:space="0" w:color="auto"/>
      </w:divBdr>
    </w:div>
    <w:div w:id="1461460722">
      <w:bodyDiv w:val="1"/>
      <w:marLeft w:val="0"/>
      <w:marRight w:val="0"/>
      <w:marTop w:val="0"/>
      <w:marBottom w:val="0"/>
      <w:divBdr>
        <w:top w:val="none" w:sz="0" w:space="0" w:color="auto"/>
        <w:left w:val="none" w:sz="0" w:space="0" w:color="auto"/>
        <w:bottom w:val="none" w:sz="0" w:space="0" w:color="auto"/>
        <w:right w:val="none" w:sz="0" w:space="0" w:color="auto"/>
      </w:divBdr>
    </w:div>
    <w:div w:id="1532571126">
      <w:bodyDiv w:val="1"/>
      <w:marLeft w:val="0"/>
      <w:marRight w:val="0"/>
      <w:marTop w:val="0"/>
      <w:marBottom w:val="0"/>
      <w:divBdr>
        <w:top w:val="none" w:sz="0" w:space="0" w:color="auto"/>
        <w:left w:val="none" w:sz="0" w:space="0" w:color="auto"/>
        <w:bottom w:val="none" w:sz="0" w:space="0" w:color="auto"/>
        <w:right w:val="none" w:sz="0" w:space="0" w:color="auto"/>
      </w:divBdr>
    </w:div>
    <w:div w:id="1538928250">
      <w:bodyDiv w:val="1"/>
      <w:marLeft w:val="0"/>
      <w:marRight w:val="0"/>
      <w:marTop w:val="0"/>
      <w:marBottom w:val="0"/>
      <w:divBdr>
        <w:top w:val="none" w:sz="0" w:space="0" w:color="auto"/>
        <w:left w:val="none" w:sz="0" w:space="0" w:color="auto"/>
        <w:bottom w:val="none" w:sz="0" w:space="0" w:color="auto"/>
        <w:right w:val="none" w:sz="0" w:space="0" w:color="auto"/>
      </w:divBdr>
    </w:div>
    <w:div w:id="1634674667">
      <w:bodyDiv w:val="1"/>
      <w:marLeft w:val="0"/>
      <w:marRight w:val="0"/>
      <w:marTop w:val="0"/>
      <w:marBottom w:val="0"/>
      <w:divBdr>
        <w:top w:val="none" w:sz="0" w:space="0" w:color="auto"/>
        <w:left w:val="none" w:sz="0" w:space="0" w:color="auto"/>
        <w:bottom w:val="none" w:sz="0" w:space="0" w:color="auto"/>
        <w:right w:val="none" w:sz="0" w:space="0" w:color="auto"/>
      </w:divBdr>
    </w:div>
    <w:div w:id="1737319693">
      <w:bodyDiv w:val="1"/>
      <w:marLeft w:val="0"/>
      <w:marRight w:val="0"/>
      <w:marTop w:val="0"/>
      <w:marBottom w:val="0"/>
      <w:divBdr>
        <w:top w:val="none" w:sz="0" w:space="0" w:color="auto"/>
        <w:left w:val="none" w:sz="0" w:space="0" w:color="auto"/>
        <w:bottom w:val="none" w:sz="0" w:space="0" w:color="auto"/>
        <w:right w:val="none" w:sz="0" w:space="0" w:color="auto"/>
      </w:divBdr>
    </w:div>
    <w:div w:id="1805931413">
      <w:bodyDiv w:val="1"/>
      <w:marLeft w:val="0"/>
      <w:marRight w:val="0"/>
      <w:marTop w:val="0"/>
      <w:marBottom w:val="0"/>
      <w:divBdr>
        <w:top w:val="none" w:sz="0" w:space="0" w:color="auto"/>
        <w:left w:val="none" w:sz="0" w:space="0" w:color="auto"/>
        <w:bottom w:val="none" w:sz="0" w:space="0" w:color="auto"/>
        <w:right w:val="none" w:sz="0" w:space="0" w:color="auto"/>
      </w:divBdr>
    </w:div>
    <w:div w:id="1888301927">
      <w:bodyDiv w:val="1"/>
      <w:marLeft w:val="0"/>
      <w:marRight w:val="0"/>
      <w:marTop w:val="0"/>
      <w:marBottom w:val="0"/>
      <w:divBdr>
        <w:top w:val="none" w:sz="0" w:space="0" w:color="auto"/>
        <w:left w:val="none" w:sz="0" w:space="0" w:color="auto"/>
        <w:bottom w:val="none" w:sz="0" w:space="0" w:color="auto"/>
        <w:right w:val="none" w:sz="0" w:space="0" w:color="auto"/>
      </w:divBdr>
    </w:div>
    <w:div w:id="203137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6DEE4-6C76-4BB9-AEF2-F51011EFF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10136</Words>
  <Characters>5778</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Izziņa par atzinumos sniegtajiem iebildumiem likumprojektu “Uzņēmumu ienākuma nodokļa likums”</vt:lpstr>
    </vt:vector>
  </TitlesOfParts>
  <Company>Finanšu ministrija</Company>
  <LinksUpToDate>false</LinksUpToDate>
  <CharactersWithSpaces>15883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likumprojektu “Uzņēmumu ienākuma nodokļa likums”</dc:title>
  <dc:subject>Izziņa par atzinumos sniegtajiem iebildumiem</dc:subject>
  <dc:creator>Ina Spridzane</dc:creator>
  <cp:keywords/>
  <dc:description>Ina Spridzane, 29119241</dc:description>
  <cp:lastModifiedBy>Ina Spridzāne</cp:lastModifiedBy>
  <cp:revision>2</cp:revision>
  <cp:lastPrinted>2021-06-04T07:12:00Z</cp:lastPrinted>
  <dcterms:created xsi:type="dcterms:W3CDTF">2021-09-15T06:22:00Z</dcterms:created>
  <dcterms:modified xsi:type="dcterms:W3CDTF">2021-09-15T06:22:00Z</dcterms:modified>
</cp:coreProperties>
</file>