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24-TA-2371: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Finanšu tirgus digitālās darbības noturības un mākslīgā intelekta izmantošanas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likumprojekta vienībās izmantoto vārdkopu "mākslīgā intelekta izmantošanas prasības" (sk., piemēram, likumprojekta 7. pantu), norādot uz </w:t>
            </w:r>
            <w:r w:rsidR="00000000" w:rsidRPr="00000000" w:rsidDel="00000000">
              <w:rPr>
                <w:i w:val="1"/>
                <w:rtl w:val="0"/>
              </w:rPr>
              <w:t xml:space="preserve">Eiropas Parlamenta un Padomes 2024. gada 13. jūnija Regulā (ES) 2024/1689, ar ko nosaka saskaņotas normas mākslīgā intelekta jomā un groza Regulas (EK) Nr. 300/2008, (ES) Nr. 167/2013, (ES) Nr. 168/2013, (ES) 2018/858, (ES) 2018/1139 un (ES) 2019/2144 un Direktīvas 2014/90/ES, (ES) 2016/797 un (ES) 2020/1828</w:t>
            </w:r>
            <w:r w:rsidR="00000000" w:rsidRPr="00000000" w:rsidDel="00000000">
              <w:rPr>
                <w:rtl w:val="0"/>
              </w:rPr>
              <w:t xml:space="preserve"> (turpmāk – Regula Nr. 2024/1689) noteiktajām digitālās darbības noturības prasībām v.tml.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aicinām likumprojekta vienībās, kurās ar vārdkopu "digitālās darbības noturības prasības" faktiski tiek saprastas </w:t>
            </w:r>
            <w:r w:rsidR="00000000" w:rsidRPr="00000000" w:rsidDel="00000000">
              <w:rPr>
                <w:i w:val="1"/>
                <w:rtl w:val="0"/>
              </w:rPr>
              <w:t xml:space="preserve">Eiropas Parlamenta un Padomes 2022. gada 14. decembra Regulā (ES) 2022/2554 par finanšu nozares digitālās darbības noturību un ar ko groza Regulas (EK) Nr. 1060/2009, (ES) Nr. 648/2012, (ES) Nr. 600/2014, (ES) Nr. 909/2014 un (ES) 2016/1011</w:t>
            </w:r>
            <w:r w:rsidR="00000000" w:rsidRPr="00000000" w:rsidDel="00000000">
              <w:rPr>
                <w:rtl w:val="0"/>
              </w:rPr>
              <w:t xml:space="preserve"> (turpmāk - Regula Nr. 2022/2554) noteiktās prasības, to arī pēc iespējas norādīt, tādējādi nodrošinot privātpersonām skaidru, nepārprotamu un viegli uztveramu tiesisko regulējumu jau pašā likumprojekta attiecīgajā vienībā. Piemēram, bet ne tikai, lūdzam izvērtēt likumprojekta 10. panta pirmo daļu, kā arī 9. pantu, atsauces noformējot atbilstoši Ministru kabineta 2009. gada 3. februāra noteikumu Nr. 108 "Normatīvo aktu projektu sagatavošanas noteikumi" 2.8.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veikti likumprojekta 7. un 9. pantā, 10. panta pirmajā un otrajā daļā, aizstājot vārdkopas “digitālās darbības noturības” un “mākslīgā intelekta izmantošanas” ar attiecīgām atsaucēm uz Regulu Nr. 2022/2554 vai Regulu Nr. 2024/1689. Konsekvencei precizēta arī 10. panta trešās daļas ievaddaļa, papildinot to ar atsauci uz minētajām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w:t>
            </w:r>
            <w:r w:rsidR="00000000" w:rsidRPr="00000000" w:rsidDel="00000000">
              <w:rPr>
                <w:u w:val="single"/>
                <w:rtl w:val="0"/>
              </w:rPr>
              <w:t xml:space="preserve">rada šķēršļus regulas tiešam efektam un apdraud vienlaicīgu un vienādu tās piemērošanu Eiropas Savienībā</w:t>
            </w:r>
            <w:r w:rsidR="00000000" w:rsidRPr="00000000" w:rsidDel="00000000">
              <w:rPr>
                <w:rtl w:val="0"/>
              </w:rPr>
              <w:t xml:space="preserve">,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Reizē Eiropas Savienības Tiesa ir atzinusi, ka, ja regula prasa tās piemērošanai nodrošinošu nacionālā tiesību akta pieņemšanu, </w:t>
            </w:r>
            <w:r w:rsidR="00000000" w:rsidRPr="00000000" w:rsidDel="00000000">
              <w:rPr>
                <w:u w:val="single"/>
                <w:rtl w:val="0"/>
              </w:rPr>
              <w:t xml:space="preserve">atsevišķos gadījumos tomēr var tikt pieļauta regulu teksta daļu inkorporēšana nacionālajos tiesību aktos</w:t>
            </w:r>
            <w:r w:rsidR="00000000" w:rsidRPr="00000000" w:rsidDel="00000000">
              <w:rPr>
                <w:rtl w:val="0"/>
              </w:rPr>
              <w:t xml:space="preserve"> (kā piemēru skatīt lietu Nr. 272/83 </w:t>
            </w:r>
            <w:r w:rsidR="00000000" w:rsidRPr="00000000" w:rsidDel="00000000">
              <w:rPr>
                <w:i w:val="1"/>
                <w:rtl w:val="0"/>
              </w:rPr>
              <w:t xml:space="preserve">Komisija v. Itālija</w:t>
            </w:r>
            <w:r w:rsidR="00000000" w:rsidRPr="00000000" w:rsidDel="00000000">
              <w:rPr>
                <w:rtl w:val="0"/>
              </w:rPr>
              <w:t xml:space="preserve">). </w:t>
            </w:r>
            <w:r w:rsidR="00000000" w:rsidRPr="00000000" w:rsidDel="00000000">
              <w:rPr>
                <w:u w:val="single"/>
                <w:rtl w:val="0"/>
              </w:rPr>
              <w:t xml:space="preserve">Tomēr norādām, ka šis gadījums attaisnots vienīgi ar indivīdu interesēm saņemt tiem adresētu saskaņotu un labi uztveramu tiesību aktu, un regulu tiešā piemērojamība nepieļauj citus izņēmumus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attiecībā uz likumprojekta 1. pantu norādīts: "</w:t>
            </w:r>
            <w:r w:rsidR="00000000" w:rsidRPr="00000000" w:rsidDel="00000000">
              <w:rPr>
                <w:i w:val="1"/>
                <w:rtl w:val="0"/>
              </w:rPr>
              <w:t xml:space="preserve">Likumprojekta 1. pants ietver likumā lietoto terminu uzskaitījumu, proti, šāds uzskaitījums nepieciešams, jo </w:t>
            </w:r>
            <w:r w:rsidR="00000000" w:rsidRPr="00000000" w:rsidDel="00000000">
              <w:rPr>
                <w:i w:val="1"/>
                <w:u w:val="single"/>
                <w:rtl w:val="0"/>
              </w:rPr>
              <w:t xml:space="preserve">virkne Regulā Nr. 2022/2554 lietoto terminu atsaucas uz ES direktīvām</w:t>
            </w:r>
            <w:r w:rsidR="00000000" w:rsidRPr="00000000" w:rsidDel="00000000">
              <w:rPr>
                <w:i w:val="1"/>
                <w:rtl w:val="0"/>
              </w:rPr>
              <w:t xml:space="preserve">, kas nozīmē, ka termini nacionālajos normatīvajos aktos ir transponēti un tie būtu uzskaitāmi. Pirmkārt, jo ES direktīvas nav tieši piemērojamas, otrkārt – tādejādi nodrošinot Regulas Nr. 2022/2554 tiesību normu ērtu un viegli uztveramu praktisko piemērošanu</w:t>
            </w:r>
            <w:r w:rsidR="00000000" w:rsidRPr="00000000" w:rsidDel="00000000">
              <w:rPr>
                <w:rtl w:val="0"/>
              </w:rPr>
              <w:t xml:space="preserve">." Vēršam gan uzmanību, ka likumprojektā vairākās vietās (ne tikai likumprojekta 1. pantā, bet arī, piemēram, likumprojekta 4. pantā) ir pārrakstītas regulas normas, kurās nav ietvertas atsauces uz ES direktīvām. Attiecīgi lūdzam izvērtēt un vai nu anotācijā sniegt pamatojumu regulu teksta daļu inkorporēšanai atbilstoši iepriekš minētajiem apsvērumiem, vai arī precizēt likumprojektu. Īpaši aicinām izvērtēt, vai nepastāv regulas prasību interpretācijas risks. Papildus norādām, ka gadījumā, ja nepieciešams pārrakstīt regulas normas, tās ir pārrakstāmas identiski, tādējādi neradot šaubas par regulas prasību dažādas interpretācijas un piemērošanas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bet ne tikai, vēršam uzmanību,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 pantā tiek pārrakstīti vairāki termini. Piemēram, likumprojekta 1. panta 29. punktā tiek pārrakstīts Eiropas Parlamenta un Padomes 2022. gada 14. decembra Regulas (ES) Nr. 2022/2554 par finanšu nozares digitālās darbības noturību un ar ko groza Regulas (EK) Nr. 1060/2009, (ES) Nr. 648/2012, (ES) Nr. 600/2014, (ES) Nr. 909/2014 un (ES) 2016/1011 (turpmāk - Regula Nr. 2022/2554) 3. panta 31. punkts, savukārt likumprojekta 1. panta 37. punktā - Regulas Nr. 2022/2554 3. panta 34. punkts. Ja kādi termini tiek lietoti Regulas Nr. 2022/2554, aicinām tā arī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1. panta 25. punktā tiek definēts termins "informācijas un komunikācijas tehnoloģijas". Regulā Nr. 2022/2554 minētais termins pirmšķietami nav definēts. Aicinām izvērtēt un skaidrot, vai, definējot terminu nacionālajā normatīvajā aktā, nav iespējams regulas prasību interpretācijas risks, kā arī izvērstāk skaidrot, kādēļ termins definēts tieši šādi. Ja nepieciešams, aicinām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1. panta 31. punktā ietvertā termina definēšanā pirmšķietami pastāv Regulas Nr. 2022/2554 3. panta 55. punktā definētā termina interpretācijas risks, jo termins nav definēts identiski regulā noteiktajam. Līdzīgi lūdzam izvērtēt likumprojekta 32. punktu iepretim Regulas Nr. 2022/2554 3. panta 57. punktam, kā arī likumprojekta 4. panta 16. punkta atbilstību Regulas Nr. 2022/2554 2. panta 1. punkta "f"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1. panta 36. punktu iesakām precizēt, jo tajā pašreiz ir ietverta atsauce uz regulas vienību, kura savukārt norāda uz regulas Nr. 2022/2554 3. panta 52. punktā ietverto terminu, kurā ir ietverta atsauce uz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arī citviet likumprojektā, ne tikai 1. pantā, tiek pārrakstītas regulas prasības (sk., piemēram, likumprojekta 4. pantu, kā arī likumprojekta 6. panta pirmās daļas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attiecīgajās vietā, proti, attiecībā uz likumprojekta 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ietver likumā lietoto terminu uzskaitījumu, proti, šāds uzskaitījums nepieciešams, jo virkne Regulā Nr. 2022/2554 lietoto terminu atsaucas uz ES direktīvām, kas nozīmē, ka termini nacionālajos normatīvajos aktos ir transponēti. Piemēram, Regulas Nr. 2022/2554 3. panta 52. punkts paredz terminu “arodpensijas kapitāla uzkrāšanas institūcija” ar atsauci uz Eiropas Parlamenta un Padomes 2016. gada 14. decembra direktīvas (ES) 2016/2341 par arodpensijas kapitāla uzkrāšanas institūciju (AKUI) darbību un uzraudzību (turpmāk – Direktīva Nr. 2016/2341) 6. panta 1. punktu, taču minētā direktīva ir transponēta Privāto pensiju fondu likumā un nacionālajos normatīvajos aktos tiek lietots termins “privātais pensiju fonds”. Tāpat, piemēram, Regulas Nr. 2022/2554 3. panta 32. punkts paredz terminu “iestāde, kam piemēro atbrīvojumu, ievērojot Direktīvu 2013/36/ES”, kurš nacionālajos normatīvajos aktos atbilst terminam – krājaizdevu sabiedrība. Pēc identiska principa likumprojekta 1. pantā ir ieviesti virkne Regulā Nr. 2022/2554 3. pantā lietotie termini – termini, kuri tiek lietoti likumprojektā. Tāpat, plašais terminu uzskaitījums ir cieši saistīts ar likumprojekta II nodaļas 4., 5. un 6. pantu, kuri ievieš secīgi Regulas Nr. 2022/2554 2. panta 1. punktu, 16. panta 1. un 2. punktu, kā arī 2. panta 3. un 4. punktu. Piemēram, Regulas Nr. 2022/2554 2. panta 1. punkta ieviešana likumprojekta 4. pantā. Regulas Nr. 2022/2554 2. panta 1. punkta “b” un “c” apakšpunkts pats par sevi sniedz atsauci uz atbrīvojumiem, kuri noteikti Direktīvā Nr. 2015/2366 un Direktīvā Nr. 2009/110/EK. Savukārt, Regulas Nr. 2022/2554 2. panta 1. punkta “c”, “e”, “i”, “k”, “l”, “n”, “o” un “p” apakšpunkts secīgi atbilst Regulas Nr. 2022/2554 3. panta 37., 33., 43., 44., 45., 47., 48., 49., 50., 51. un 52. apakšpunktā definētajiem terminiem, proti, minētie Regulas Nr. 2022/2554 3. panta termini definēti atsaucoties uz virkni ES direktīvām, kuras ir transponētas nacionālajos normatīvajos aktos. ES regulu ieviešana neaprobežojas tikai ar regulas normu ieviešanu, kuras paredz dalībvalstij rīcības brīvības (piemēram, Regulas Nr. 2022/2554 2. panta 4. punkts), kā arī paredz dalībvalstij pienākumu noteikt prasības kādā jomā atbilstoši nacionālajiem normatīvajiem aktiem (piemēram, Regulas Nr. 2022/2554 50. panta 4. un 6. punkts ar formulējumiem “dalībvalstis piešķir”, “dalībvalstis nodrošina”), bet būtiska uzmanība jāpievērš ES regulas normām, kurās ir atsauces uz ES direktīvām, proti, minēto normu “atšifrēšana” jeb ieviešana spēlē nozīmīgu lomu regulas tiešas piemērošanas nodrošināšanai. Tāpat likumprojekta 1. pantā ieviests arī Regulas Nr. 2024/1689 3. panta 1. punktā minētais termins “MI sistēma”, lai nodrošinātu tā lietojumu turpmāk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tiek noteikts likuma mērķis, kas pēc būtības ir saistīts ar Regulas Nr. 2022/2554 un Regulas Nr. 2024/1689 prasību ieviešanu, proti, nodrošināt minētās regulas tiešu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pants nosaka likuma darbības jomu, proti, tiek noteikts likuma tvērums –digitālās darbības noturība un mākslīgā intelekta izmantošana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anotācijā precizēto skaidrojumu attiecībā uz terminiem un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 panta 33. un 42. punktā minētie termini "kredītiestāde" un "neliela un savstarpēji nesaistīta ieguldījumu brokeru sabiedrība" ir pārrakstīti, jo minētie termini ir lietoti likumprojekta attiecīgi 4. panta 15. punktā un 5. panta 4. punktā. Šo terminu lietojums likumprojekta 4. un 5. pantā ir nepieciešams, lai kopumā varētu ieviest Regulas Nr. 2022/2554 2. panta 1. punktu un 16. panta 1. un 2. punktu. Tāpat uzsveram, ka nebūtu vēlams definēt minētos terminus veidojot atsauci uz Regulas Nr. 2022/2554 2. panta attiecīgajiem punktiem, jo tad rodas dubulto atsauču problēma;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 panta 27. punkta termins “informācijas un komunikācijas tehnoloģijas” nav definēts, bet tiek lietots. Tāpat, minētais termins tiek lietots arī Direktīvā Nr. 2022/2556. Visbeidzot uzsveram, ka Regula Nr. 2022/2554 un Direktīva Nr. 2022/2556 ir jālasa kopsakarā ar Direktīvu Nr. 2022/2555 (transponēta Nacionālās kiberdrošības likumā) un Direktīvu Nr. 2022/2557 (jo īpaši pielikuma 3. un 4. punktu). Termins ““informācijas un komunikācijas tehnoloģijas” ir transponēts Nacionālās kiberdrošības likumā, kurā ir transponēta Direktīva Nr. 2022/2555, tāpēc definējot minēto terminu ir atsauce uz attiecīgo Nacionālās kiberdrošības likuma attiecīgo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likumprojekta 1. panta 35. punktā minēto terminu "kriptoaktīvu pakalpojumu sniedzējs" nepastāv absolūti nekāds interpretācijas risks, proti, Regula Nr. 2022/2554 tika pieņemta ātrāk kā Regula Nr. 2023/1114, tāpēc Regulas Nr. 2022/2554 3. panta 55. punkts neietver precīzu atsauci uz kriptoaktīvu pakalpojumu sniedzēja terminu. Attiecībā uz likumprojekta 1. panta 36. punkta terminu, kurš atbilst Regulas Nr. 2022/2554 3. panta 57. punktam – “kritiski svarīgu etalonu administrators” vēršam uzmanību, ka Regulas Nr. 2016/1011 3. panta 1. punkta 25. apakšpunktā minētais “kritiski svarīgs etalons” pats par sevi nav subjekts jeb finanšu vienība, līdz ar to minētās regulas 3. panta 6. un 25. apakšpunkts ir jālasa kopā un sistēmiski. ES normatīvajos aktos mēdz būt arī nepilnības vai trūkumi (piemēram, Regulas Nr. 2022/2554 2. panta 1. punkta “f” apakšpunkts un 3. panta 55. un 56. punkts). Attiecībā uz likumprojekta 4. panta 17. punktu lūdzam ņemt vērā skaidrojumu, proti, Regula Nr. 2022/2554 tika pieņemta ātrāk kā Regula Nr. 2023/1114, tāpēc tieša atsauce nemaz nebija iespējama Regulas Nr. 2022/2554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likumprojekta 1. panta 41. punkta terminu "neliels privātais pensiju fonds" vēršam uzmanību, ka termina definējums ietver atsauci uz Regulas Nr. 2022/2554 3. panta 53. punktu, proti, minētā regula ievieš jaunu terminu “neliela arodpensijas kapitāla uzkrāšanas institūcija” jeb “neliels privātais pensiju fonds”. Regulas Nr. 2022/2554 3. panta 52. punkts ir ieviests likumprojekta 1. panta 45. punktā – privātais pensiju fonds;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citviet lietoto terminu pārrakstīšanu, lūdzam ņemt vērā precizēto skaidrojumu anotācijā, proti, lai ieviestu Regulas Nr. 2022/2554 2. panta 1. punktu, 16. panta 1. un 2. punktu, kā arī 2. panta 3. un 4. punktu (secīgi likumprojekta 4., 5. un 6. pants) ir nepieciešama atsevišķu terminu pārrakstīšana (būtībā jau tiek veidotas atsauces nevis pārrakstīti definējumi), lai noteiktu, kurām finanšu vienībām pilnībā piemēro minēto regulu, kurām piemēro vienkāršotas minētās regulas prasības, kā arī kuriem finanšu tirgus dalībniekiem minēto regulu nepiemēro. Likumprojekta II nodaļas mērķis ir radīt skaidru priekšstatu par Regulas Nr. 2022/2554 prasību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prasības finanšu tirgus digitālās darbības noturības prasību piemērošanai, uzraudzībai un atbildībai šajā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Likuma darbības jomā nenorāda likuma saturu, tostarp krimināltiesiska rakstura administratīvu sankciju ("atbildības") esību. Šāda veida regulējums ir svītrojams.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Likumiem var būt noteikta konkrēta darbības joma, ierobežota piemērojamība vai izņēmumi. Tādējādi tiek identificēta (sašaurināta) likuma piemērojamība attiecībā pret personām un noteiktiem tiesisko attiecību veidiem, savukārt, definējot darbības jomas, iespējams precīzāk atšifrēt likuma nosaukumu un atspoguļot tā saturu. Ja likuma piemērojamība ir ļoti plaša, iespējams, lietderīgāk un efektīvāk ir likumprojektā nosaukt personas vai objektus, uz kuriem likuma galvenais saturs neattiecas (</w:t>
            </w:r>
            <w:r w:rsidR="00000000" w:rsidRPr="00000000" w:rsidDel="00000000">
              <w:rPr>
                <w:i w:val="1"/>
                <w:rtl w:val="0"/>
              </w:rPr>
              <w:t xml:space="preserve">Normatīvo aktu projektu izstrādes rokasgrāmata, https://tai.mk.gov.lv/book/1/chapter/96</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likuma darbības joma nav tā satura rādītājs. Piemēram, atbildības (krimināltiesiska rakstura administratīvu sankciju vai citu atbildības veidu) esība vai dažādu procesuālu līdzekļu esība nekādi neatspoguļo likuma darbības jomu.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šāda panta nepieciešamību kopumā vai izslēgt no tā regulējumu, kas tieši neatspoguļo likuma darbības 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panta redakcija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nosaka digitālās darbības noturības un mākslīgā intelekta izmantošanas prasību piemērošanu finanšu tirgū.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vienības, kurām piemēro digitālās darbības noturības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konkretizēt likumprojektā lietoto vārdkopu "digitālās darbības noturības prasības". Proti, lūdzam precizēt, kur (kādos normatīvajos aktos) ir paredzētas minētās prasības. Papildus vēršam uzmanību, ka ar vienu un to pašu vārdkopu likumprojektā tiek apzīmētas faktiski dažādas prasības (sk., piemēram, likumprojekta 6. panta trešajā daļā paredzēto pilnvarojumu). Atbilstoši juridiskās tehnikas prasībām, normatīvajā aktā nelieto sinonīmus un vienu lietu konsekventi sauc vienā un tajā pašā vārdā. Attiecīgi lūdzam precizēt likumprojektu, nodrošinot privātpersonām skaidru, nepārprotamu un viegli uztveramu tiesisko regulējumu. Alternatīvi lūdzam anotācijā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likumprojekta 4. panta ievaddaļa, 6. panta ievaddaļa un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vienības, kurām piemēro digitālās darbības noturības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izmantošanas prasības piemēro šā likuma 4. pantā, 5. panta 1., 2. un 3. punktā minētajām finanšu vienībām un krājaizdevu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izvērstāk pamatot likumprojekta 7. pantā ietverto normas nepieciešamību vai precizēt likumprojektu. Pirmkārt, vēršam uzmanību, ka Regulas 2024/1689 2. pants noteic regulas darbības jomu. Attiecīgi to, kādos gadījumos piemēro regulu, noteic pati regula, līdz ar to ar šādu likumprojekta normu pirmšķietami varētu tikt dublēta attiecīga regulas norma. Atgādinām, ka regulu normas ir aizliegts pārrakstīt. Ja likumprojektā nepieciešams pārrakstīt kādas regulas normas, lūdzam papildināt anotāciju ar atbilstošu pamatojumu. Otrkārt, vēršam uzmanību, ka regulu preambulu apsvērumi nav regulas pamatteksta (normatīvā regulējuma) daļa, bet gan palīglīdzeklis regulas pamattekstā ietverto tiesību normu interpretācijā, sniedzot pamatojumu un mērķi regulā ietvertajam regulējumam, attiecīgi aicinām skaidrot, kāda regulas vienība (regulas pants, panta daļa, punkts, apakšpunkts) tiek ieviesta likumprojekta 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7. pants, ka arī precizēta anotācijas 1.3. sadaļa attiecībā uz likumprojekta 7. panta redakciju un tā nepieciešamību. Anotācijas 5.4.1. 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Regulā Nr. 2024/1689 noteiktās mākslīgā intelekta izmantošanas prasības piemēro šā likuma 4. pantā, 5. panta 1., 2. un 3. punktā minētajām finanšu vienībām un krājaizdevu sabiedrībai atbilstoši Regulas Nr. 2024/1689 2.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Bankai uzraudzības īstenošanā ir Regulas Nr. 2022/2554 50. panta 2. punktā noteiktās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Tieslietu ministrijas 11.11.2024 atzinumā minētais iebildums ir ņemts vērā tikai daļēji. </w:t>
            </w:r>
            <w:r w:rsidR="00000000" w:rsidRPr="00000000" w:rsidDel="00000000">
              <w:rPr>
                <w:rtl w:val="0"/>
              </w:rPr>
              <w:t xml:space="preserve">Līdz ar to atkārtoti lūdzam precizēt likumprojektā ietverto regulējumu, ievērojot ka Regulas Nr. 2022/2554 50. panta 2. punktā nav runa tikai par uzraudzības pilnvarām.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III nodaļa attiecas uz uzraudzību. Latvijas tiesību sistēmā uzraudzība (kontrole) ir stingri norobežojama no izmeklēšanas vai sodīšanas.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sankcijas (to veidi, piemērošanas kritēriji u. tml.) ir materiālo tiesību jautājums. Administratīvās sankcijas un tām līdzīgi pasākumi būtībā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Tādējādi sodoša (krimināltiesiska) rakstura administratīvās sankcijas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iestādes (amatpersonas) rīcībā ir ziņas par iespējamu pārkāpumu, par kuru varētu piemērot administratīvo sodu (sankciju), tā process turpināms, ievērojot sodu tiesību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 2022/2554 50. panta 1. punkts noteic, ka kompetentajām iestādēm ir visas uzraudzības, izmeklēšanas un sankciju pilnvaras, kas vajadzīgas, lai izpildītu pienākumus saskaņā ar šo regulu. Tādējādi regula pilnvaras attiecina arī uz sankciju piemērošanu un ar to saistīto izmeklēšanu. Likumprojektā turpretī regulējums ir sašaurināts un attiecīgās pilnvaras minētas tikai saistībā ar uzraudzību Latvijas tiesību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likumprojektā kopumā saglabā izvēlēto pieeju, kā regulēt kompetentās iestādes darbību, tad norāde uz kompetentās iestādes pilnvarām būtu ietverama arī likumprojekta IV nodaļā. Pretējā gadījumā likumprojekta 8. pants vedina domāt, ka regulā noteiktās pilnvaras ir pieļaujams izmantot tikai uzraudzības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 panta otrā daļa, kā arī likumprojekta 10. pants papildināts ar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Bankai ir Regulas Nr. 2022/2554 50. panta 2. punktā noteiktās tiesības uzraudzības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Bankai uzraudzības īstenošanā ir Regulas Nr. 2022/2554 50. panta 2. punktā un 4. punkta "d" apakšpunktā noteiktās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likumprojektā ietverto regulējumu, ņemot vērā turpmāk minēto. Pirmkārt, Regulas Nr. 2022/2554 50. panta 2. un 4. punktā nav runa tikai par </w:t>
            </w:r>
            <w:r w:rsidR="00000000" w:rsidRPr="00000000" w:rsidDel="00000000">
              <w:rPr>
                <w:u w:val="single"/>
                <w:rtl w:val="0"/>
              </w:rPr>
              <w:t xml:space="preserve">uzraudzības</w:t>
            </w:r>
            <w:r w:rsidR="00000000" w:rsidRPr="00000000" w:rsidDel="00000000">
              <w:rPr>
                <w:rtl w:val="0"/>
              </w:rPr>
              <w:t xml:space="preserve"> pilnvarām. Otrkārt, aicinām neveidot atsauču normas, bet tā vietā, kur nepieciešams, paredzēt skaidru un nepārprotamu tiesisko regulējumu regulas prasību ieviešanai. Piemēram, regulas 50. panta 4. punkta "d" apakšpunkts paredz: "</w:t>
            </w:r>
            <w:r w:rsidR="00000000" w:rsidRPr="00000000" w:rsidDel="00000000">
              <w:rPr>
                <w:i w:val="1"/>
                <w:u w:val="single"/>
                <w:rtl w:val="0"/>
              </w:rPr>
              <w:t xml:space="preserve">Dalībvalstis piešķir</w:t>
            </w:r>
            <w:r w:rsidR="00000000" w:rsidRPr="00000000" w:rsidDel="00000000">
              <w:rPr>
                <w:i w:val="1"/>
                <w:rtl w:val="0"/>
              </w:rPr>
              <w:t xml:space="preserve"> kompetentajām iestādēm pilnvaras par šīs regulas pārkāpumiem piemērot vismaz šādus administratīvos sodus vai korektīvus pasākumus: [..] </w:t>
            </w:r>
            <w:r w:rsidR="00000000" w:rsidRPr="00000000" w:rsidDel="00000000">
              <w:rPr>
                <w:i w:val="1"/>
                <w:u w:val="single"/>
                <w:rtl w:val="0"/>
              </w:rPr>
              <w:t xml:space="preserve">ciktāl to atļauj valsts tiesību akti</w:t>
            </w:r>
            <w:r w:rsidR="00000000" w:rsidRPr="00000000" w:rsidDel="00000000">
              <w:rPr>
                <w:i w:val="1"/>
                <w:rtl w:val="0"/>
              </w:rPr>
              <w:t xml:space="preserve">, pieprasīt telesakaru operatora rīcībā esošos datu plūsmas ierakstus, ja ir pamatotas aizdomas par šīs regulas pārkāpumu un ja šādi ieraksti var būt noderīgi, izmeklējot šīs regulas pārkāpumus [..]</w:t>
            </w:r>
            <w:r w:rsidR="00000000" w:rsidRPr="00000000" w:rsidDel="00000000">
              <w:rPr>
                <w:rtl w:val="0"/>
              </w:rPr>
              <w:t xml:space="preserve">." Lūdzam skaidrot, kuri ir tie nacionālie normatīvie akti, kas atļauj attiecīgu rīcību. Treškārt, lūdzam pēc būtības pamatot attiecīgu pilnvaru piešķiršanas nepieciešamību un samērīgumu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anotācijas 5.4. apakšsadaļas 1. tabulā norādīts, ka likumprojekta 9. panta pirmās daļas 1. punktā ieviests Regulas Nr. 2022/2554 50. panta 5. punkts, lūdzam izvērtēt un anotācijā izvērstāk skaidrot, kā tieši minētā regulas vienība ir ieviesta. Aicinām arī izvērtēt un skaidrot, vai un kā likumprojekta 9. panta otrās daļas 1. un 2. punktā pilnībā ieviests Regulas Nr. 2022/2554 50. panta 4. punkta "a" un "b"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otrajā daļā atsauce uz Regulas Nr. 2022/2554 50. panta 4. punkta "d" apakšpunktu izslēgta. Latvijas Bankas likuma 55. panta pirmās daļas 3. un 4. punkts jau pēc būtības atbilst Regulas Nr. 2022/2554 50. panta 4. punkta "d"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apakšsadaļas 1. tabula, taču uzsveram, ka Regulas Nr. 2022/2554 50. panta 5. punkts paredz Latvijas Bankai piemērot sankcijas un administratīvos pasākumus arī juridisko personu "vadības struktūras locekļiem" (padomes locekļi, valdes locekļi, divīziju līderi, departamentu direktori, nodaļu vadītāji u.c. Pie tik plaša subjektu loka amati var saukties dažādi.). Mūsu ieskatā likumprojekta 10. panta pirmās un otrās daļas norāde, ka sankcijas un administratīvos pasākumus var piemērot "par pārkāpumu atbildīgajai fiziskajai personai" ievieš Regulas Nr. 2022/2554 50. panta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Bankai ir Regulas Nr. 2022/2554 50. panta 2. punktā noteiktās tiesības uzraudzības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zaudējumu aprēķina metodiku un nozīmīgu informācijas un komunikācijas tehnoloģiju incidentu pārvaldības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anotācijā, par kādiem zaudējumiem ir runa likumprojekta 7. panta trešajā daļā, kā arī skaidrot, kas ir saprotams ar "nozīmīgu" informācijas un komunikācijas tehnoloģiju incidentu. Ja ar to ir saprotams tas pats, kas "būtisks ar IKT saistīts incidents" (likumprojekta 1. panta 9. punkts), tad lūdzam izmantot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2022/2554 11. panta 10. punkts noteic, ka finanšu vienības pēc kompetento iestāžu pieprasījuma ziņo tām par aplēsēm par kopējām gada izmaksām un zaudējumiem, ko radījuši būtiski ar IKT saistīti incidenti. Šīs aplēses un zaudējumus atrunās Eiropas Uzraudzības iestāžu pamatnostādnes, kuras Latvijas Bankai būs pienākums ieviest. Pašreiz pamatnostādnes vēl ir izstrādes stadijā (JC 2024 34; https://www.esma.europa.eu/sites/default/files/2024-07/JC_2024-34_-_Final_report_GL_on_costs_and_losses.pdf).".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arī likumprojekta 8.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Latvijas Banka nosaka novērtēšanas metodiku zaudējumiem, ko radījuši būtiski ar IKT saistīti incidenti.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Sankciju un administratīvo pasākumu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Tieslietu ministrijas 11.11.2024 atzinumā minētais iebildums nav ņemts </w:t>
            </w:r>
            <w:r w:rsidR="00000000" w:rsidRPr="00000000" w:rsidDel="00000000">
              <w:rPr>
                <w:b w:val="1"/>
                <w:rtl w:val="0"/>
              </w:rPr>
              <w:t xml:space="preserve">vērā</w:t>
            </w:r>
            <w:r w:rsidR="00000000" w:rsidRPr="00000000" w:rsidDel="00000000">
              <w:rPr>
                <w:rtl w:val="0"/>
              </w:rPr>
              <w:t xml:space="preserve">, līdz ar to lūdzam precizēt pārkāpumu formulējumu atbilstoši Tieslietu ministrijas 11.11.2024 atzinumā minētajam. Pārkāpumam jāsatur visas nepieciešamās pazīmes. Tam jābūt saprotamam un paredzamam arī tad, ja izņemtu atsauci uz regulu. Savukārt likumprojekta 11. pants nav saprotams, ja no tā izņemtu atsauces uz Regulu Nr. 2022/2554 un Regulu Nr. 2024/1689.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panta pirmā daļa paredz iespējamo Regulas Nr. 2022/2554 pārkāpumu uzskaitījumu, savukārt minētā panta otrā daļa paredz iespējamo Regulas Nr. 2024/1689 pārkāpumu uzskaitījumu par kuriem Latvijas Banka ir tiesīga piemērot likumprojekta 10. pantā uzskaitītās sankcijas un administratīvos pasākumus. Pārkāpumi Likumprojekta 11. pantā ir veidoti līdzīgi kā citos finanšu tiesību aktos, piemēram, Kriptoaktīvu pakalpojumu likuma 7. pantā, Privāto pensiju fondu likuma 41. panta 6.</w:t>
            </w:r>
            <w:r w:rsidR="00000000" w:rsidRPr="00000000" w:rsidDel="00000000">
              <w:rPr>
                <w:vertAlign w:val="superscript"/>
                <w:rtl w:val="0"/>
              </w:rPr>
              <w:t xml:space="preserve">2</w:t>
            </w:r>
            <w:r w:rsidR="00000000" w:rsidRPr="00000000" w:rsidDel="00000000">
              <w:rPr>
                <w:rtl w:val="0"/>
              </w:rPr>
              <w:t xml:space="preserve"> daļā vai Kolektīvās finansēšanas pakalpojumu likuma 12. pantā. Esošais likumprojekta 11. panta pārkāpumu formulējums atbilst tiesību aktu redakciju izstrādes praksei finanšu sektora uzraudzībā, nodrošinot konsekventu pieeju, par kuru jau ir panākta vienošanās ar Tieslietu ministriju citos likumprojektos, tostarp iepriekš minētajos. Finanšu sektoru regulējošie ES tiesību akti bieži tiek grozīti, lai pielāgotos mainīgajām ekonomiskajām krīzēm, globālajām tendencēm, kā arī risinātu jaunas problēmas, kas rodas tirgū. Tādēļ finanšu tirgus iespējamo pārkāpumu formulējumam būtu jābūt elastīgam.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arī pateicamies Tieslietu ministrijai par š.g. 30. janvāra epastā piedāvāto iespējamo risinājumu, proti, veidot atkal jaunu pierakstu iespējamo pārkāpumu formulēšanā, tomēr uzsveram, ka šāda pieeja nebūtu atbalstāma. Pirmkārt, jau tāpēc, ka Tieslietu ministrijas piedāvājums atšķiras, piemēram, gan no Kriptoaktīvu pakalpojumu likuma 7. panta, gan Privāto pensiju fondu likuma 41. panta 6.</w:t>
            </w:r>
            <w:r w:rsidR="00000000" w:rsidRPr="00000000" w:rsidDel="00000000">
              <w:rPr>
                <w:vertAlign w:val="superscript"/>
                <w:rtl w:val="0"/>
              </w:rPr>
              <w:t xml:space="preserve">2</w:t>
            </w:r>
            <w:r w:rsidR="00000000" w:rsidRPr="00000000" w:rsidDel="00000000">
              <w:rPr>
                <w:rtl w:val="0"/>
              </w:rPr>
              <w:t xml:space="preserve"> daļas, gan Kolektīvās finansēšanas pakalpojumu likuma 12. panta pieraksta, kas rada nekonsekvenci līdzīgu tiesību normu izstrādē un var radīt problēmas to piemērošanā, ņemot vērā turpmāk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attiecībā uz Tieslietu ministrijas piedāvājumu, piemēram, izteikt likumprojekta 11. panta 1. punktu jaunā redakcijā (“1) </w:t>
            </w:r>
            <w:r w:rsidR="00000000" w:rsidRPr="00000000" w:rsidDel="00000000">
              <w:rPr>
                <w:u w:val="single"/>
                <w:rtl w:val="0"/>
              </w:rPr>
              <w:t xml:space="preserve">neizveido Regulas Nr. 2022/2554 5. pantā noteikto finanšu vienības iekšējās pārvaldības un kontroles sistēmu</w:t>
            </w:r>
            <w:r w:rsidR="00000000" w:rsidRPr="00000000" w:rsidDel="00000000">
              <w:rPr>
                <w:rtl w:val="0"/>
              </w:rPr>
              <w:t xml:space="preserve"> vai nenodrošina ar to saistīto pasākumu īstenošanu”) uzsveram ,ka iekšējās pārvaldības un kontroles sistēmas izveide pati par sevi nenodrošina Regulas Nr. 2022/2554 5. panta 1. punkta prasības izpildi, proti, ja minētā sistēma ir izveidota, bet tā nenodrošina IKT riska efektīvu un prudenciālu pārvaldību, tad minētās regulas 5. panta 1. punkts nav ievērots. No Tieslietu ministrijas piedāvājuma izriet, ka iekšējās pārvaldības un kontroles sistēmas izveide nodrošina Regulas Nr. 2022/2554 5. panta 1. punkta prasību, kas mūsu ieskatā neatbilst tam, ko paredz minētais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mūsu ieskatā Tieslietu ministrijas š.g. 30. janvāra epastā piedāvātais risinājums (piemēram, par likumprojekta 11. panta pirmās daļas 1. punkta izteikšanu jaunā redakcijā) rada Regulas Nr. 2022/2554 tiesību normu interpretācijas problēmas un var sašaurināt minētās regulas tiesību normu piemērošanu, proti, to, ka finanšu vienībai ir jāizveido iekšējās pārvaldības un kontroles sistēma paredz Regulas Nr. 2022/2554 5. panta 1. punkts, bet minētajā pantā ir arī 2., 3. un 4. punkts. Ja Tieslietu ministrija savā piedāvājumā 2. punktu iespējams mēģina aptvert ar formulējumu “vai nenodrošina ar to saistīto pasākumu īstenošanu”, tad par 3. un 4. punktu mūsu ieskatā ir piemirsts, jo 3. punkts paredz atsevišķas funkcijas izveidošanu finanšu vienībām, kuras nav mikrouzņēmumi, nolūkā uzraudzīt ar trešām personām, kas sniedz IKT pakalpojumus, noslēgtās vienošanās par IKT pakalpojumu izmantošanu </w:t>
            </w:r>
            <w:r w:rsidR="00000000" w:rsidRPr="00000000" w:rsidDel="00000000">
              <w:rPr>
                <w:u w:val="single"/>
                <w:rtl w:val="0"/>
              </w:rPr>
              <w:t xml:space="preserve">vai augstākās vadības locekļa iecelšanu</w:t>
            </w:r>
            <w:r w:rsidR="00000000" w:rsidRPr="00000000" w:rsidDel="00000000">
              <w:rPr>
                <w:rtl w:val="0"/>
              </w:rPr>
              <w:t xml:space="preserve">, lai tiktu uzraudzīta pakļautība riskam, savukārt 4. punkts vispār paredz prasību par zināšanu un prasmju atjaunošanu finanšu vienības vadības struktūras locekļiem. Tieslietu ministrijas piedāvātā formulējuma sasaite ar Regulas Nr. 2022/2554  5. panta 3. un 4. punktu mūsu ieskatā ir apšaubāma un var radīt situāciju, kad nacionālā regulējuma ietvaros sašaurinām minētās regulas piemērošanu, proti, Regulas Nr. 2022/2554 50. panta 4. punktā minētās sankcijas un administratīvos pasākumus var piemērot ne tikai tad, ja nav izveidota iekšējās pārvaldības un kontroles sistēma vai tā ir izveidota, bet nenodrošina IKT riska efektīvu un prudenciālu pārvaldību, bet arī tad, ja finanšu vienības vadības struktūras locekļi aktīvi neatjaunina pietiekamas zināšanas un prasmes, kas ļauj saprast un novērtēt IKT risku un tā ietekmi uz finanšu vienības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virkne līdzīgu secinājumu ir arī attiecībā uz pārējiem Tieslietu ministrijas piedāvājumiem par likumprojekta 11. panta pirmās daļas 2., 10., 13. un 15. punkta piedāvātajiem formulējumiem, tāpēc aicinām ņemt vērā skaidrojumu un pieturēties pie esošās prakses iespējamo pārkāpumu formulēšanā.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Sankciju un administratīvo pasākumu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šā likuma 10. panta pirmajā daļā noteiktās sankcijas un ceturtajā daļā noteiktos administratīvos pasākumus ir tiesīga piemērot, ja fiziskā vai juridiskā persona neievēro: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11.11.2024. un 20.12.2024. iebildums attiecībā uz pārkāpumu formulēšanu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pārkāpumu formulējumu atbilstoši Tieslietu ministrijas iepriekšējos atzinumos minētajam. Pārkāpumam jāsatur visas nepieciešamās pārkāpuma pazīmes. Tam jābūt saprotamam un paredzamam arī tad, ja izņemtu atsauci uz regulu. Savukārt likumprojekta 11. pants joprojām neatbilst šīm prasībām, ja no tā izņemtu atsauces uz Eiropas Parlamenta un Padomes 2022. gada 14. decembra Regulu (ES) 2022/2554 par finanšu nozares digitālās darbības noturību un ar ko groza Regulas (EK) Nr. 1060/2009, (ES) Nr. 648/2012, (ES) Nr. 600/2014, (ES) Nr. 909/2014 un (ES) 2016/1011 (turpmāk - Regula Nr. 2022/2554) un Eiropas Parlamenta un Padomes 2024. gada 13. jūnija Regulu (ES) 2024/1689, ar ko nosaka saskaņotas normas mākslīgā intelekta jomā un groza Regulas (EK) Nr. 300/2008, (ES) Nr. 167/2013, (ES) Nr. 168/2013, (ES) 2018/858, (ES) 2018/1139 un (ES) 2019/2144 un Direktīvas 2014/90/ES, (ES) 2016/797 un (ES) 2020/1828 (turpmāk – Regula Nr. 2024/1689).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pamatota izziņā ietvertā norāde, ka saistībā ar šo likumprojektu ir piedāvāts "veidot atkal jaunu pierakstu iespējamo pārkāpumu formulēšanā". Pamatprincipi sodu tiesībās par to, kā veidot pārkāpuma formulējumu (definēt pārkāpumu), tostarp izmantojot blanketu normu, nav mainījušies. Pastāv jautājums tikai par to, cik veiksmīgi to ir izdevies īstenot katrā konkrētajā gadījumā. Turklāt gan tiesību jaunradē, gan valsts pārvaldē vajadzētu tiekties pastāvīgas pilnveidošanās virzienā. It īpaši jomās, kur prakse un doktrīna Latvijā ir mazattīstīta, nepārtraukti uzlabojumi un iepriekšējā regulējuma kritika ir neizbēgama. Tieslietu ministrijas piedāvātās redakcijas nenozīmē, ka tieši tāds teksts ir iekļaujams likumprojektā. Tās vairāk kalpo kā paraugs, parāda vēlamo pieeju, pārkāpuma pazīmju veidošanas stilu.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administratīvās atbildības (plašākā izpratnē) regulējumā nav īpašas atšķirības, vai blanketās normas saturu ietekmē likums vai ES regula. Pieeja abos gadījumos pamatā neatšķiras, izņemot informatīvu atsauci uz regulas vienību pēdējā gadījumā. Sodu tiesībās pietiekami precīzs piemērs, kā būtu veidojami pārkāpumi, ja to nepieciešamību noteic regula, ir Informācijas sabiedrības pakalpojumu likuma 20. pantā ietvertais regulējums. Ja regula nenoteic pārkāpumus un par tiem piemērojamos sodus, tad katrā dalībvalstī to noteikšana ir atkarīga no tās valsts konstitucionālajām tradīcijām un sodu tiesību principiem.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pants precizēts atbilstoši 2025. gada 7. marta saskaņošanas sanāksmē pārrunātajam.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jau saskaņošanas procesā uzsvērām, tad saredzam no nopietnus riskus regulu iespējamo pārkāpumu uzskaitīšanai nacionālajos normatīvajos aktos, ņemto vērā regulu tiešo piemērojamību un to, ka regulas tiek arī grozītas un precizētas.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regulu iespējamo pārkāpumu uzskaitījums var novest pie regulas interpretācijas un nepareizas piemērošanas, kā arī radīt juridiskas neskaidrības finanšu tirgus dalībniekiem un tiesvedības sekas valstij. Regulas iespējamo pārkāpumu uzskaitījums var neaptvert visus aspektus un papildu prasības, kas ir ietvertas regulas pantos, kas ir būtiskas, lai nodrošinātu pilnīgu regulas izpildi. Eiropas Savienības (turpmāk – ES) tiesību aktu prioritātes princips (saukts arī par “pārākuma” principu) balstās idejā, ka, rodoties konfliktam starp ES tiesību aktu aspektiem un ES dalībvalsts tiesību aktu (valsts likumu) aspektiem, ES tiesību akti būs dominējošie. Minētais ES tiesību pārākuma princips ir nostiprināts, piemēram, lietas Nr. C-314/08 81. apsvērumā, proti, “saskaņā ar iedibinātu judikatūru valsts tiesai, kurai ir pienākums savas kompetences ietvaros piemērot Kopienu tiesību normas, ir arī pienākums nodrošināt šo normu pilnīgu efektivitāti, pēc savas iniciatīvas vajadzības gadījumā nepiemērojot tām pretrunā esošas, pat vēlāk pieņemtas valsts tiesību normas, bez pienākuma lūgt vai sagaidīt, kad tās tiks atceltas likumdošanā vai izmantojot kādu citu konstitūcijā paredzētu metodi".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šā likuma 10. panta pirmajā daļā noteiktās sankcijas un ceturtajā daļā noteiktos administratīvos pasākumus ir tiesīga piemērot, ja fiziskā vai juridiskā persona neievēro: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Banka šā likuma 9. pantā noteiktās sankcijas un administratīvos pasākumus ir tiesīga piemērot, ja fiziskā vai juridiskā persona neievēro: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pārkāpumu formulējums. Lai arī blanketu normu izmantošana ir pieļaujama, likumā noteiktajam pārkāpumam jāsatur visas nepieciešamās pazīmes. Tam jābūt saprotamam un paredzamam arī tad, ja izņemtu atsauci uz regulu.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Pārkāpumu formulēšanas aspektā aicinām pievērst īpašu uzmanību blanketajām normām. 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projektā ietvertajam pārkāpuma aprakstam, lai arī ļoti vispārīgi, bet ir jāsatur visas pārkāpuma pazīmes pat tad, ja tas satur informatīvas atsauces uz regulas vienībām. Arī no juridiskās tehniskas viedokļa atsauču lietojumam jābūt tādam, lai projekta regulējumu varētu vispārīgi saprast, neizlasot atsaucē norādīto cita normatīvā akta vienību. Tādēļ projektā pārkāpumu saturošā vienība veidojama tā, lai atsauci var izņemt vai lasot izlaist un tas neietekmētu pārkāpuma pazīmju esību un regulējuma skaidrību un saprotamību. Savukārt atsauces uz nacionālajiem normatīvajiem aktiem pārkāpuma pazīmju formulējumā vispār nav nepieciešamas un nav vēlamas.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projekta 10. pantā ietverto pārkāpumu formulējumu. Salīdzinājumam var izmantot Informācijas sabiedrības pakalpojumu likuma 20. pantā ietverto administratīvās atbildības regulējumu. Turklāt pat par šāda detalizācijas līmeņa pārkāpuma pazīmēm Saeimas Juridiskās komisijas Krimināltiesību un sodu politikas apakškomisija norādīja, ka "likumprojektā ietvertās dispozīcijas ir smagnējas un grūti uztveramas, un tādēļ aicinām tās formulēt tā, lai lietotājam tās būtu vieglāk saprotamas" (</w:t>
            </w:r>
            <w:r w:rsidR="00000000" w:rsidRPr="00000000" w:rsidDel="00000000">
              <w:rPr>
                <w:i w:val="1"/>
                <w:rtl w:val="0"/>
              </w:rPr>
              <w:t xml:space="preserve">Juridiskās komisijas Krimināltiesību un sodu politikas apakškomisijas vēstule Nr. 142.1.9/3-12-14/23; Juridiskās komisijas Krimināltiesību un sodu politikas apakškomisijas 2023. gada 21. februāra sēdes protokols Nr. 141.1.9/3/1-4-14/23</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 panta pirmā daļa atbilstoši precizēts. Precizējot likumprojekta 11. panta pirmo daļu, likumprojekta 1. pants ir papildināts 25., 26. un 29. punktu, proti, ar terminiem "IKT koncentrācijas risks", "IKT risks" un "kiberdraudi". Lai arī piekrītam Tieslietu ministrijas paustajam, proti, "Arī no juridiskās tehniskas viedokļa atsauču lietojumam jābūt tādam, lai projekta regulējumu varētu vispārīgi saprast, neizlasot atsaucē norādīto cita normatīvā akta vienību. Tādēļ projektā pārkāpumu saturošā vienība veidojama tā, lai atsauci var izņemt vai lasot izlaist un tas neietekmētu pārkāpuma pazīmju esību un regulējuma skaidrību un saprotamību.", taču uzsveram, ka formulējot iespējamos pārkāpumus, ir praktiski neiespējami izvairīties no Regulas Nr. 2022/2554 atsevišķu terminu lietošanas, jo pretējā gadījumā lietotie minētās regulas termini ir jāpārraksta, kas atkal būtu pretrunā ar regulu ieviešanas pamatprincipiem.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šā likuma 10. panta pirmajā daļā noteiktās sankcijas un ceturtajā daļā noteiktos administratīvos pasākumus ir tiesīga piemērot, ja fiziskā vai juridiskā persona neievēro: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Informēšana par piemērotajām sankcijām un administratīvajiem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 skaidrojuma izriet, ka likumprojekta 12. pants ir nacionālā iniciatīva papildus Regulā Nr. 2024/1689 ietvertajam regulējumam. Attiecīgi lūdzam sniegt pamatojumu pēc būtības par šāda regulējuma nepieciešamību un samērīgumu. Papildus lūdzam likumprojekta 12. pantā nošķirt, ka tas attiecas uz informēšanu par piemērotajām sankcijām un administratīvajiem pasākumiem par Regulas Nr. 2024/1689 prasību pārkāpšanu, ņemot vērā, ka Regulas Nr. 2022/2554 54. pants šādu regulējumu jau paredz. Atgādinām, ka regulu normas ir aizliegts pārrakstīt. Ja likumprojektā nepieciešams pārrakstīt kādas regulas normas, lūdzam papildināt anotāciju ar atbilstošu pamatojumu regulu teksta daļu inkorporēšanas nepieciešamībai un pieļaujamībai.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anotācijas 5.4. apakšsadaļā skaidrot, vai un kā likumprojektā ieviests Regulas Nr. 2022/2554 54. panta 3. punkta "b" apakšpunkts ("</w:t>
            </w:r>
            <w:r w:rsidR="00000000" w:rsidRPr="00000000" w:rsidDel="00000000">
              <w:rPr>
                <w:rtl w:val="0"/>
              </w:rPr>
              <w:t xml:space="preserve">publicēt to anonīmi </w:t>
            </w:r>
            <w:r w:rsidR="00000000" w:rsidRPr="00000000" w:rsidDel="00000000">
              <w:rPr>
                <w:u w:val="single"/>
                <w:rtl w:val="0"/>
              </w:rPr>
              <w:t xml:space="preserve">saskaņā ar valsts tiesību aktiem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attiecībā uz likumprojekta 12. panta redakciju un 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arī likumprojekta 12. pants un anotācijas 5.4.1. 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Informēšana par piemērotajām sankcijām un administratīvajiem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Informēšana par piemērotajām sankcijām un administratīvajiem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12. pantu, nosakot tīmekļvietnē ievietojamo fizisko personu datu apstrādes mērķi, to apstrādājamās datu kategorijas vai datu veidus, kā arī kopumā izvērtējot vai plānotā personas datu apstrāde ir samērīga. Paskaidrojam, ka atbilstoši Datu regulas[1] 5.panta 1.punkta “a” apakšpunktā noteiktajam, personas dati tiek apstrādāti likumīgi, godprātīgi un datu subjektam pārredzamā veidā. Tādēļ nosakot tiesisko pamatu un personas datu apstrādes nolūku, tas tiek veidots tik pārredzami, lai datu subjekts varētu saprast, ka viņa personas dati tiks apstrādāti un kādā nolūkā tas tiks darīts, kā arī izslēgtu tiesību normas patvaļīgas piemērošanas iespēju (godprātības princips). Arī saskaņā ar Datu regulas 41. apsvēruma juridiskajam pamatam vai leģislatīvam pasākumam jābūt skaidram un precīzam un personām, uz kurām tas attiecas, vajadzētu spēt paredzēt tā piemērošanu saskaņā ar Eiropas Savienības Tiesas un Eiropas Cilvēktiesību tiesas judikatūru. Ievērojot, ka par personas datu apstrādes atbilstību Datu regulai ir atbildīgs pārzinis, pārzinim katrā konkrētā gadījumā būtu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 Ņemot vērā minēto, kā arī anotācijā norādīto, ka šāds regulējums ir nepieciešams, jo Regula Nr. 2024/1689 šādu informācijas publicēšanas pienākumu neparedz, likumprojekta 12. pantu nepieciešams precizēt, lai nodrošinātu tā atbilstību Datu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attiecībā uz likumprojekta 12. panta redakciju un 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arī likumprojekta 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Informēšana par piemērotajām sankcijām un administratīvajiem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piemēroti par pārkāpumu atbildīgajām fiziskajām vai juridiskajām personām, pēc tam, kad tā ir paziņota adresātam, ievieto savā tīmekļvietnē, norādot ziņas par personu un tās izdarīto pārkāpumu, kā arī par Latvijas Bankas izdotā administratīvā akta apstrīdēšanu, pārsūdzēšanu un pieņemto nolēmumu.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12. panta atbilstību Eiropas Savienības Tiesas 2021. gada 22. jūnija spriedumam lietā C-439/19 Latvijas Republikas Saeima (</w:t>
            </w:r>
            <w:r w:rsidR="00000000" w:rsidRPr="00000000" w:rsidDel="00000000">
              <w:rPr>
                <w:i w:val="1"/>
                <w:rtl w:val="0"/>
              </w:rPr>
              <w:t xml:space="preserve">Points de pénalité</w:t>
            </w:r>
            <w:r w:rsidR="00000000" w:rsidRPr="00000000" w:rsidDel="00000000">
              <w:rPr>
                <w:rtl w:val="0"/>
              </w:rPr>
              <w:t xml:space="preserve">). Paskaidrojam, ka ar minēto spriedumu tika atzīts par prettiesisku tāds tiesiskais regulējums, ar kuru publiskai struktūrai, kas ir atbildīga par reģistru, kurā iekļauti sodāmības dati, ir noteikts pienākums šos datus darīt publiski pieejamus, neuzliekot personai, kura pieprasa piekļuvi, pienākumu pamatot minēto datu iegūšanu ar konkrētu interesi. Tāpat spriedumā skaidrots, lai gan publiska piekļuve oficiāliem dokumentiem, kā tas izriet no Datu regulas 154. apsvēruma, veido sabiedrības interesi, kas var leģitimizēt šādos dokumentos ietverto personas datu izpaušanu, šī piekļuve tomēr ir jāsaskaņo ar pamattiesībām uz privātās dzīves neaizskaramību un personas datu aizsardzību, kā tas turklāt skaidri ir prasīts minētajā 86. pantā. Taču, ņemot vērā sodāmības datu sensitīvo raksturu un to, cik smagu iejaukšanos datu subjektu pamattiesībās uz privātās dzīves neaizskaramību un personas datu aizsardzību izraisa šo datu izpaušana, ir jāuzskata, ka šīs tiesības ir pārākas pār sabiedrības interesi saņemt piekļuvi oficiālajiem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publicēt informāciju par sankcijām un administratīvajiem pasākumiem, kas piemēroti par pārkāpumu atbildīgajām fiziskajām personām, tādējādi nenodrošinot prasību pirms šādas informācijas izsniegšanas pamatot tās iegūšanas interesi, nepieciešams izvērtēt tā atbilstību Eiropas Savienības Tiesas judikatūrai.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attiecībā uz likumprojekta 12. panta redakciju un 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piemēroti par Regulas Nr. 2022/2554 prasību pārkāpumu par pārkāpumu atbildīgajām fiziskajām vai juridiskajām personām, pēc tam, kad administratīvais akts ir paziņots adresātam, ievieto savā tīmekļvietnē, norādot ziņas par personu (fiziskajai personai — vārds, uzvārds; juridiskajai personai — nosaukums un reģistrācijas numurs) un tās izdarīto pārkāpumu (veids, piemērotā sankcija, administratīvais pasākums, lēmuma spēkā stāšanās datums), kā arī par Latvijas Bankas izdotā administratīvā akta apstrīdēšanu, pārsūdzēšanu un pieņemto nolēmumu.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šā panta pirmajā daļā minēto informāciju ievieto tīmekļvietnē, neidentificējot personu, ja konstatē, ka tās fiziskās personas datu atklāšana, kurai piemērota sankcija vai administratīvais pasākums, nav samērīga vai arī fiziskās vai juridiskās personas datu atklāšana var apdraudēt finanšu tirgus stabilitāti vai uzsākta kriminālprocesa norisi vai radīt nesamērīgu kaitējumu iesaistītajām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regulējuma atbilstību personas datu apstrādes principiem, jo īpaši likumīguma, godprātības un pārredzamības principam, lūdzam noteikt skaidrus kritērijus vai gadījumus, kad likumprojekta 12. panta pirmajā daļā minētā informācija ievietojama tīmekļvietnē neidentificējot personu. Paskaidrojam, ka likumdevējam jau likuma līmenī būtu jānosaka, kādos gadījumos personas datu publicēšana būtu atzīstama par nesamērīgu.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attiecībā uz likumprojekta 12. panta redakciju un 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arī likumprojekta 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šā panta pirmajā daļā minēto informāciju ievieto tīmekļvietnē, neidentificējot personu, ja konstatē, ka tās fiziskās personas datu atklāšana, kurai piemērota sankcija vai administratīvais pasākums, nav samērīga vai arī fiziskās vai juridiskās personas datu atklāšana var apdraudēt finanšu tirgus stabilitāti vai uzsākta kriminālprocesa norisi vai radīt nesamērīgu kaitējumu iesaistītajām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1.2.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 punktā ietverto iebildumu un sniegtajiem skaidrojumiem atkārtoti norādām, ka regulu normas ir aizliegts pārrakstīt. Vienlaikus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w:t>
            </w:r>
            <w:r w:rsidR="00000000" w:rsidRPr="00000000" w:rsidDel="00000000">
              <w:rPr>
                <w:i w:val="1"/>
                <w:rtl w:val="0"/>
              </w:rPr>
              <w:t xml:space="preserve">Komisija v. Itālija</w:t>
            </w:r>
            <w:r w:rsidR="00000000" w:rsidRPr="00000000" w:rsidDel="00000000">
              <w:rPr>
                <w:rtl w:val="0"/>
              </w:rPr>
              <w:t xml:space="preserve">). Tomēr norādām, ka šis gadījums attaisnots vienīgi ar </w:t>
            </w:r>
            <w:r w:rsidR="00000000" w:rsidRPr="00000000" w:rsidDel="00000000">
              <w:rPr>
                <w:u w:val="single"/>
                <w:rtl w:val="0"/>
              </w:rPr>
              <w:t xml:space="preserve">indivīdu interesēm saņemt tiem adresētu saskaņotu un labi uztveramu tiesību aktu</w:t>
            </w:r>
            <w:r w:rsidR="00000000" w:rsidRPr="00000000" w:rsidDel="00000000">
              <w:rPr>
                <w:rtl w:val="0"/>
              </w:rPr>
              <w:t xml:space="preserve">, un regulu tiešā piemērojamība nepieļauj citus izņēmumus. Attiecīgi, ja likumprojektā nepieciešams pārrakstīt kādas regulas normas, īpaši tās, kurās nav atsauces uz direktīvām, lūdzam papildināt anotāciju ar </w:t>
            </w:r>
            <w:r w:rsidR="00000000" w:rsidRPr="00000000" w:rsidDel="00000000">
              <w:rPr>
                <w:u w:val="single"/>
                <w:rtl w:val="0"/>
              </w:rPr>
              <w:t xml:space="preserve">iepriekš minētajiem apsvērumiem atbilstošu pamatojumu</w:t>
            </w:r>
            <w:r w:rsidR="00000000" w:rsidRPr="00000000" w:rsidDel="00000000">
              <w:rPr>
                <w:rtl w:val="0"/>
              </w:rPr>
              <w:t xml:space="preserve"> regulu teksta daļu inkorporēšanas nepieciešamībai un pieļaujamībai.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attiecībā uz likumprojekta 1. panta redakciju un tā nepieciešamību, proti, “Jāuzsver, ka likumprojekta 1. pantā iekļautie termini ar atsaucēm uz Regulu Nr. 2022/2554 un Regulu Nr. 2024/1689 ir nepieciešami, lai finanšu tirgus dalībniekiem adresētu saskaņotu un labi uztveramu tiesību aktu, kā to secīgi paredz likumprojekta 4., 5., 6. un 7.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panta otrajā daļā ir norādīti Latvijas Bankas piemērojamie administratīvie pasākumi. Lūdzam skaidri definēt administratīvo pasākumu piemērošanas mērķi. Proti, mērķis varētu būt vērsts uz  noteikto subjektu vai tiesisku interešu aizsardzību, nevis juridisko vai fizisko personu sodīšanu.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anotācijas 1.3. apakšsadaļa attiecīgajā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“fiziskā persona” un “juridiskā persona” lietojums nodaļā “Atbildība” izvēlēts apzināti, lai salāgotu terminoloģiju ar Administratīvā procesa likumu, jo Latvijas Banka sankcijas un administratīvos pasākumus piemēro Administratīvā procesa likuma ietvaros, izdodot administratīvo aktu. Ņemot vērā plašo subjektu loku, kuriem piemēro Regulas Nr. 2022/2554 prasības, tad fiziskā persona var būt padomes loceklis, valdes loceklis, kā arī augsta līmeņa vadītājs (piemēram, divīzijas līderis, departamenta direktors, nodaļas vadītājs u.c.). Juridiskā persona attiecīgi var būt kāda no likumprojekta 4. vai 5. pantā minētajām finanšu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pamatojot, kādēļ likumprojekta 9. panta otrajā daļā paredzēti administratīvie pasākumi nav sodi (sankcijas) likumprojekta izpratnē. Administratīviem pasākumiem pēc būtības jābūt nošķirtiem no sodiem.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apakšadaļa: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panta trešās daļas 1. punkts paredz administratīvo pasākumu – Latvijas Bankai tiesības pieprasīt, lai par pārkāpumu atbildīgā fiziskā vai juridiskā persona nekavējoties izbeidz attiecīgo darbību. Minētais administratīvais pasākums izriet no Regulas Nr. 2022/2554 50. panta 4. punkta “a” apakšpunkta. Minētais administratīvais pasākums ir vērsts uz tūlītēju pārkāpuma novēršanu. Tāpat likumprojekta 10. panta trešās daļas 2. punkts paredz administratīvo pasākumu, proti, Latvijas Bankai tiesības noteikt pagaidu aizliegumu par pārkāpumu atbildīgajai fiziskajai personai, veikt tai noteiktos pienākumus līdz pārkāpuma novēršanas brīdim vai galīgā nolēmuma spēkā stāšanās brīdim, bet ne ilgāk kā divus gadus. Administratīvais pasākums izriet no Regulas Nr. 2022/2554 50. panta 4. punkta “b” apakšpunkta un tiek papildināts ar piebildi “bet ne ilgāk kā divus gadus” nolūkā noteikt pagaidu aizlieguma maksimālo termiņu, tādejādi nodrošinot tiesisko noteiktību finanšu tirgus dalībniekiem. Administratīvā pasākuma piemērošanas mērķis ir, lai uz personas pagaidu atstatīšanas no pienākumu veikšanas laiku finanšu vienībā tiktu pienācīgā kārtībā nodrošināti iekšējie procesi, uzlabots pārvaldības modelis un persona atturēta no līdzīgu pārkāpumu izdarīšanas vai iekšējo procesu sakārtošanas traucēšanas, kā arī veiktas citas darbības administratīvā pasākuma mērķa nodrošināšanai. Tāpat jāuzsver, ka administratīvos pasākumus piemēro par personas jau izdarītu pārkāpumu par kuru nav samērīgi piemērot sodoša rakstura sankciju (brīdinājums, soda nauda), ja uz to nepieciešams reaģēt, lai ierobežotu vai novērstu iespējamo kaitējumu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Administratīvajiem pasākumiem nav sodoša rakstura, jo tie būtiski neietekmē personas reputāciju un nerada būtiskas nelabvēlīgas ekonomiskās sekas, kā tas būtu gadījumos, ja personai tiktu piemērotas likumprojektā paredzētās sankcijas (brīdinājums, soda nauda).".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pants paredz informācijas sniegšanas pienākumu finanšu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tiesību aktā iekļauto informācijas sniegšanas pienākumu vērtējumu un atbilstoši vērtējumam veikt administratīvo izmaksu monetāru novērtējumu, kas aizpildāms par fiziskām un juridiskām personām anotācijas 2. sadaļas 2.3 apakšpunktā, savukārt par valsts un pašvaldību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sadaļas 2.3 apakšpunkts atbilstoši precizēts, vienlaikus izslēdzot minēto informāciju no anotācijas 7. sadaļas 7.2. apakšpunkta.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skaidrot likumprojektā paredzēto pilnvarojumu Latvijas Bankai izdot noteikumus būtību un nepieciešamību. Vēršam uzmanību, ka pašreiz anotācijā nav sniegts pamatojums pēc būtības attiecīgo pilnvarojumu nepieciešamībai. T.i., lūdzam visupirms izvērtēt, vai attiecīgs pilnvarojums vispār ir vajadzīgs un vai nepieciešamo regulējumu nevar ietvert pašā likuma tekstā. Savukārt, ja tiek nolemts izstrādāt jaunus noteikumus, lūdzam likumprojekta anotācijas 4. sadaļā skaidrot pamatojumu šādai izvēlei, tostarp skaidrot, kādēļ ir nepieciešams un pieļaujams, ņemot vērā būtiskuma teoriju, Latvijas Banku pilnvarot noteikt attiecīgos jautājumus. Aicinām arī aprakstīt jauno noteikumu saturisko ietvaru, tādējādi nodrošinot, ka vēlāk, izstrādājot noteikumu projektu, nepieciešamās lietas ir iespējams iekļaut projektā, jo to paredz pilnvarojuma saturiskais tvērums, kā arī pilnvarojumu vēlāk ir iespējams izpildīt, jo regulējamo jautājumu loks nav formulēts pārāk plaši. Aicinām arī izvērtēt un skaidrot likumprojektā paredzēto pilnvarojumu atbilstību Ministru kabineta 2009. gada 3. februāra noteikumu Nr. 108 "Normatīvo aktu projektu sagatavošanas noteikumi" (turpmāk -  Noteikumi Nr. 108) 2.5. apakšnodaļā ietvertajām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Citastarp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saistībā ar likumprojekta 7. panta trešajā daļā paredzēto pilnvarojumu anotācijā skaidrot, par kādām Regulas Nr. 2022/2554 vadlīnijām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likumprojekta 7. panta ceturtajā daļā paredzēto pilnvarojumu anotācijā izvērstāk skaidrot, kāda ir minētā pilnvarojuma nepieciešamība Regulas Nr. 2022/2554 ieviešanas kontekstā, kā arī kas ir normā minētais informācijas reģistrs. Citastarp aicinām arī skaidrot, par kādiem </w:t>
            </w:r>
            <w:r w:rsidR="00000000" w:rsidRPr="00000000" w:rsidDel="00000000">
              <w:rPr>
                <w:rtl w:val="0"/>
              </w:rPr>
              <w:t xml:space="preserve">Regulas Nr. 2022/2554 regulatīvi tehniskajiem noteikumiem ir 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nepārprotami norādīt, ja likumprojekta 7. panta piektajā daļā paredzēts pilnvarojums Latvijas Bankai (anotācijas 4. sadaļā tāda informācija nav ietverta), kā arī izvērtēt un precizēt to atbilstoši Noteikumu Nr. 108 2.5. apakšnodaļā ietvertajām prasībām. Citastarp aicinām izvērtēt iespēju paskaidrojošu informāciju (piemēram, par pilnvarojuma nepieciešamību, dokumentiem, ko Latvijas Banka ņem vērā, nosakot prasības) ietvert atsevišķā teikumā vai normas daļā, vai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sadaļas aizpildīšana ir attiecināma uz saistītiem likumprojektiem vai ministru kabineta noteikumiem, kurus izstrādātu un virzītu citas institūcijas (Valsts kanceleja vai kāda no ministrijām). Attiecībā uz Latvijas Bankas noteikumiem anotācijas 4. sadaļu tehniski nav iespējams, proti, anotācijas 4.1.1. punktā pie "Atbildīgā institūcijas" nemaz nav iespējas izvēlēties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8. panta ceturtās daļas deleģējumu anotācijas 1.3. apakšsadaļa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pilnvarojums nepieciešams, jo uz Regulas Nr. 2022/2554 19. un 20. panta pamata Eiropas Uzraudzības iestādes izdos regulatīvo tehnisko standartu, kura ieviešana Latvijā būs saistīta ar Latvijas Bankas tiesību īstenošanu informācijas par IKT incidentiem apmaiņas jomā. Regulas Nr. 2022/2554 preambulas 7. un 99. apsvērums atrunā, ka Eiropas Uzraudzības iestāde (Eiropas Banku iestāde (EBI)), kura izveidota ar Eiropas Parlamenta un Padomes Regulu (ES) Nr. 1093/2010, Eiropas Uzraudzības iestāde (Eiropas Apdrošināšanas un aroda pensiju iestāde (EAAPI)), kura izveidota ar Eiropas Parlamenta un Padomes Regulu (ES) Nr. 1094/2010 un Eiropas Uzraudzības iestāde (Eiropas Vērtspapīru un tirgu iestāde (EVTI)), kura izveidota ar Eiropas Parlamenta un Padomes Regulu (ES) Nr. 1095/2010 (kopā zināmas kā "Eiropas uzraudzības iestādes" jeb "EUI") izstrādās regulatīvos tehniskos standartus, kuri nodrošina Regulā Nr. 2022/2554 noteikto prasību konsekventu saskaņošanu. Tā kā EUI ir struktūras, kurām ir ļoti specializētas zināšanas, tad tās pilnvaro izstrādāt un iesniegt Eiropas Komisijai ar politikas izvēlēm nesaistītu regulatīvu tehnisko standartu projektus. Minētie regulatīvie tehniskie standarti tiks izstrādāti tādās jomās kā IKT riska pārvaldība, ziņošana par būtiskiem ar IKT saistītiem incidentiem, testēšana, kā arī saistībā ar galvenajām prasībām ar trešo personu saistīta IKT riska stabilai uzraudzībai. Eiropas Komisijai un EUI jānodrošina, lai visas finanšu vienības varētu piemērot minētos standartus un prasības tā, lai piemērošana būtu samērīga ar minēto vienību lielumu un vispārējo riska profilu un pakalpojumu, darbību un operāciju veidu, apmēru un sarežģītību. Eiropas Komisija pieņem šādus regulatīvos tehniskos standartus, pieņemot deleģēšanas aktus saskaņā ar Līguma par Eiropas Savienības darbību 290. pantu un saskaņā ar 10.–14. pantu Regulās (ES) Nr. 1093/2010, (ES) Nr. 1094/2010 un (ES) Nr. 1095/2010. Līdz ar to konkrētā norma izstrādāta, lai vienkāršotu šo EUI Regulu (ES) 1093/2010, (ES) Nr. 1094/2010 un (ES) Nr. 1095/2010 16. panta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ņemt vērā precizēto skaidrojumu attiecībā anotācijas 1.3. apakšsadaļā attiecībā uz likumprojekta 8. panta septītās daļas deleģējumu un uzsveram, ka šāds deleģējums Latvijas Bankai nav unikāls, proti, šādu deleģējumu ietver praktiski visi finanšu sektora normatīvie akti nolūkā nodrošināt Latvijas Bankai iespēju reaģēt uz Eiropas Uzraudzības iestāžu pamatnostādnēm, regulatīvi tehniskajiem standartiem, lēmumiem, ieteikumiem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informāciju par Eiropas Parlamenta un Padomes 2009. gada 25. novembra direktīvas (ES) 2009/138/EK par uzņēmējdarbības uzsākšanu un veikšanu apdrošināšanas un pārapdrošināšanas jomā (Maksātspēja II) prasību pārņemšanu likumprojektā. Likumprojekta 6. panta pirmās daļas 2. punkta “f” apakšpunktā ir pārņemts minētās direktīvas </w:t>
            </w:r>
            <w:r w:rsidR="00000000" w:rsidRPr="00000000" w:rsidDel="00000000">
              <w:rPr>
                <w:rtl w:val="0"/>
              </w:rPr>
              <w:t xml:space="preserve">4. panta 4. punkta (nevis 3. punkta) "a" un "b" apakšpunkts. Attiecīgi lūdzam skaidrot, vai un kur likumprojektā ir pārņemts direktīvas 4. panta 3. punkts, jo tabulā tas nav norādīts, savukārt izziņas 11. punktā ir skaidrots: "</w:t>
            </w:r>
            <w:r w:rsidR="00000000" w:rsidRPr="00000000" w:rsidDel="00000000">
              <w:rPr>
                <w:i w:val="1"/>
                <w:rtl w:val="0"/>
              </w:rPr>
              <w:t xml:space="preserve">nepieciešams transponēt tikai minētās direktīvas 4. pantā paredzētos raksturlielumus (4. panta 1. punktu un tam pakārtotos minētā panta 2. un </w:t>
            </w:r>
            <w:r w:rsidR="00000000" w:rsidRPr="00000000" w:rsidDel="00000000">
              <w:rPr>
                <w:i w:val="1"/>
                <w:u w:val="single"/>
                <w:rtl w:val="0"/>
              </w:rPr>
              <w:t xml:space="preserve">3. punktu</w:t>
            </w:r>
            <w:r w:rsidR="00000000" w:rsidRPr="00000000" w:rsidDel="00000000">
              <w:rPr>
                <w:i w:val="1"/>
                <w:rtl w:val="0"/>
              </w:rPr>
              <w:t xml:space="preserve">)</w:t>
            </w:r>
            <w:r w:rsidR="00000000" w:rsidRPr="00000000" w:rsidDel="00000000">
              <w:rPr>
                <w:rtl w:val="0"/>
              </w:rPr>
              <w:t xml:space="preserve">". Citastarp, ņemot vērā, ka likumprojektā pārņemtās direktīvu normām būtu jābūt jau pārņemtām nacionālajos normatīvajos aktos, aicinām izvērtēt iespēju atsaukties uz attiecīgajām nacionālā normatīvā akta vienībām, nevis pārņemt normas pēc būtības arī šajā likumprojektā, tādējādi arī izvairoties no normu dublēšanās. Alternatīvi aicinām sniegt skaidrojumu par šādu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izziņas 4. un 11. punktā sniegto skaidrojumu par Regulas Nr. 2022/2554 50. panta 4. punkta "d" apakšpunkta ieviešanu, lūdzam papildināt anotācijas 5.4. apakšsadaļas 1. tabulu ar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tabulā norādīt informāciju par Regulas Nr. 2024/1689 99. panta 1.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regulu preambulu apsvērumi nav regulas pamatteksta (normatīvā regulējuma) daļa, bet gan palīglīdzeklis regulas pamattekstā ietverto tiesību normu interpretācijā, sniedzot pamatojumu un mērķi regulā ietvertajam regulējumam. Attiecīgi aicinām precizēt vai papildināt tabulu, norādot regulas Nr. 2025/1689 pamatteksta vienību, kas ieviesta likumprojekta 7.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tabulas pēdējā aile attiecībā uz Direktīvas Nr. 2009/138/EK, proti, jāpārņem ir minētās direktīvas 4. panta 4. punkta “a” un “b” apakšpunkts nevis 3. punkts. Precizēts arī attiecīgais izziņas punkts. Tāpat uzsveram, ka Direktīvas Nr. 2009/138/EK 4. pants vēsturiski nav pārņemts nevienā no apdrošināšanas jomas normatīvajiem aktiem, tāpēc atbilstošā apjomā minētās direktīvas 4. pants tiek pārņemts likumprojektā, lai nodrošinātu Regulas Nr. 2022/2554 tiešu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tabula attiecībā uz Regulas Nr. 2022/2554 50. panta 4. punkta "d"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tabula attiecībā uz Regulas Nr. 2024/1689 99.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5.4.1. tabula attiecībā uz Regulas Nr. 2024/1689 158. apsvērumu. Tāpat lūdzam ņemt vērā skaidrojumu anotācijā attiecībā uz likumprojekta 7. pantu kopsakarā ar izziņas 5. punkta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tabulā ietverto informāciju vai sniegt attiecīgus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tabulā, kā arī anotācijas 1.3. apakšsadaļā ietverto informāciju par Eiropas Parlamenta un Padomes 2009. gada 25. novembra direktīvas (ES) 2009/138/EK par uzņēmējdarbības uzsākšanu un veikšanu apdrošināšanas un pārapdrošināšanas jomā (Maksātspēja II) prasību pārņemšanu. Proti, tiek pārņemti arī anotācijā neminētu direktīvas 4. panta apakšvienību (piemēram, 4. panta 2. punkta) nosacījumi. Lūdzam arī norādīt, kura direktīvas vienība ir pārņemta likumprojekta 6. panta pirmās daļas 1. punkta "f" apakšpunktā", jo tajā nav pārņemts direktīvas 4. panta 1. punkts. Papildus, ņemot vērā Regulas Nr. 2022/2554 2. panta 3. punkta "b" apakšpunktā ietverto atsauci uz minētās direktīvas </w:t>
            </w:r>
            <w:r w:rsidR="00000000" w:rsidRPr="00000000" w:rsidDel="00000000">
              <w:rPr>
                <w:u w:val="single"/>
                <w:rtl w:val="0"/>
              </w:rPr>
              <w:t xml:space="preserve">4. pantu kopumā</w:t>
            </w:r>
            <w:r w:rsidR="00000000" w:rsidRPr="00000000" w:rsidDel="00000000">
              <w:rPr>
                <w:rtl w:val="0"/>
              </w:rPr>
              <w:t xml:space="preserve"> (kurā ir vēl vairākas apakšvienības, kas nav minētas anotācijas 5.4. apakšsadaļas 1. tabulā), aicinām izvērtēt, vai pilnībā ieviesta minētā regulas norma un pārņemta attiecīgā direktīvas prasība. Ja nepieciesams,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likumprojekta 4. pantā ir ieviests (daļēji pārrakstīts) Regulas Nr. 2022/2554 2. panta 1. punkts, lūdzam papildināt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papildināt tabulu ar informāciju par Regulas Nr. 2022/2554 50. panta 3.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tabulā ietvert informāciju par Regulas Nr. 2022/2554 50. panta 4. punkta "d" apakšpunkta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lūdzam tabulā skaidrot arī citu Regulas Nr. 2022/2554 normās paredzēto dalībvalsts rīcības brīvību izmantošanu vai neizmantošanu (sk., piemēram, 19. panta apakšvienības, 52.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5.4. apakšsadaļas 1. tabula atbilstoši precizēta. Tāpat uzsveram, ka no Direktīvas Nr. 2009/138/EK 4. panta, ieviešot Regulas Nr. 2022/2554 2. panta 3. punkta "b" apakšpunktu, nepieciešams transponēt tikai minētās direktīvas 4. pantā paredzētos raksturlielumus( 4. panta 1. punktu un tam pakārtotos minētā panta 2. un 4. punktu), lai nošķirtu, kurām apdrošināšanas sabiedrībām piemēro Regulu Nr. 2022/2554 un kurām to nepiemēro;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2022/2554 50. panta 3. punkta ieviešana anotācijas 5.4. apakšsadaļas 1. tabulā iestrādāta;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Regulas Nr. 2022/2554 50. panta 4. punkta "d" apakšpunkta ieviešanas izslēgta, proti, izvērtējot secinājām, ka, pirmkārt, minētās regulas 50. panta 4. punkta "d" apakšpunkta ieviešana dalībvalstīm nav obligāta. Otrkārt, Latvijas Bankas likuma 55. panta pirmās daļas 3. un 4. punkts jau pēc būtības paredz to, kas minēts Regulas Nr. 2022/2554 50. panta 4. punkta "d"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aile par rīcības brīvību izmantošanu papildināta attiecībā uz Regulas Nr. 2022/2554 52. panta 1. punktu. Attiecībā uz Regulas Nr. 2022/2554 19. pantu aicinam Regulu Nr. 2022/2554, Direktīvu Nr. 2022/2555, Direktīvu Nr. 2022/2556 un Direktīvu Nr. 2022/2557 lasīt kopsakarā, proti, minētais regulas pants nav tieši saistīts ar likumprojekta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sestā daļā un 12. pantā ir paredzēti informācijas sniegšanas pienākumi Latvijas Bankai.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15. un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lūdzu veikt tiesību aktā iekļauto informācijas sniegšanas pienākumu vērtējumu un atbilstoši vērtējumam veikt administratīvo izmaksu monetāru novērtējumu, kas aizpildāms par valsts un pašvaldību institūcijām anotācijas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sadaļas 7.2 un 7.5 apakšpunkts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likumprojektā paredzēto personu datu apstrādi, norādot tiesisko pamatojumu personu datu apstrādei atbilstoši Datu regulas 6. panta 1. punktam, kā arī sniedzot īsu un kodolīgu skaidrojumu par paredzēto personu datu apstrādi – kādu datu subjektu un kādu kategoriju datus paredz apstrādāt likumprojekts,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8.1.13. apakšpunkts attiecībā uz likumprojekta 12. panta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arī likumprojekta 12.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likumprojekta nosaukumu, lai tas precīzāk atbilstu likumprojekta saturam. Piemēram, likumprojekts neregulē mākslīgā intelekta izmantošanu kā tādu, bet gan regulē dažus Regulas Nr. 2024/1689 izpildes un uzraudzības jautājumus, nodrošinot minētās regulas tiešu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iespēju precizēt likumprojekta nosaukumu nonācām pie secinājuma, ka esošais likumprojekta nosaukums būtu saglabājams esošajā redakcijā, proti, lai arī likumprojekts regulē dažus Regulas Nr. 2024/1689 izpildes un uzraudzības jautājumus, tomēr likumprojekta nosaukuma ir jābūt pietiekami plašam, lai nākotnē varētu veikt precizējumus, piemēram, ja Eiropas Savienības tiek pieņemti normatīvie akti, kuri precizē Regulu Nr. 2024/1689 (piemēram, regula, direktīva).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4.panta 18) punktā skaidri norādīt, uz kuriem AIF attiecas prasības, papildinot to ar piebildi "izņemot 6. panta sestajā daļā minētos alternatīvo ieguldīumu fondu pārvaldniekus".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to, ka likumprojekta 6. panta 1. punkts jau paredz nosacījumus, kuri nošķir alternatīvo ieguldījumu fondus, kuriem nepiemēro Regulas Nr. 2022/2554 prasības. No juridiskās tehnikas puses piebilde likumprojekta 4. panta 1. punktā neko nerisina, jo neatkarīgi no likumprojekta 4. panta 1. punkta redakcijas, alternatīvajam ieguldījumu fondam ir jāpārliecinās vai uz to ir attiecināmas Regulas Nr. 2022/2554 prasības saskaņā ar likumprojekta 6. panta 1. punktu. Regulas Nr. 2022/2554 2. panta 1. un 3. punkts pats par sevi paredz šādu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digitālās darbības noturības likuma 4.pantā tiek izmantots apzīmējums “finanšu vienības” (kā DORA Regulā), bet 6.pantā tiek izmantots apzīmējums – Finanšu tirgus dalībnieki. Priekšlikums ir minētajos pantos lietot vienotu terminu.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likumprojekta 6. pantā apzīmējums "finanšu tirgus dalībnieki" ir lietots apzināti, jo, piemēram, likumprojekta 6. panta finanšu tirgus dalībniekiem nepiemēro Regulu Nr. 2022/2554, līdz ar to nepiemēro arī minētajā regulā noteiktās sankcijas un administratīvos pasākumus, kuri ir ieviesti nodaļā "Atbildība". Tāpat uzsveram, ka apzīmējot likumprojekta 6. pantā minētos subjektus kā finanšu vienība, rodas interpretācijas problēmas attiecībā, piemēram, uz likumprojekta 9. pantu. Uz likumprojekta 6. pantā minētajiem finanšu tirgus dalībniekiem attiecas tikai likumprojekta 6.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un pensiju fondus, kā arī komersantus, kas sniedz finanšu iestādēm būtiskus pakalpojumus. Asociācija ir iepazinusies ar Finanšu ministrijas izstrādāto likumprojektu “Finanšu tirgus digitālās darbības noturības likums” (Nr.24-TA-2371 (turpmāk – likumprojekts) un ņemot vērā tā pašreizējo redakciju, </w:t>
            </w:r>
            <w:r w:rsidR="00000000" w:rsidRPr="00000000" w:rsidDel="00000000">
              <w:rPr>
                <w:b w:val="1"/>
                <w:rtl w:val="0"/>
              </w:rPr>
              <w:t xml:space="preserve">Asociācija saskaņo likumprojektu, vienlaikus izsakot šādus apsvērumus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izvērtēt un skaidrot anotācijā apsvērumus par likumprojekta piemērošanu attiecībā uz ieguldījumu pārvaldes sabiedrībām, īpaši tādos gadījumos, kad ieguldījumu pārvaldes sabiedrības darbība ir valsts fondēto pensiju shēmas līdzekļu pārvaldīšana. No šī brīža likumprojekta un anotācijas izriet, ka šādām ieguldījumu pārvaldes sabiedrībām ir piemērojamas visas Eiropas Parlamenta un Padomes Regulas (ES) 2022/2554 (2022. gada 14. decembris) par finanšu nozares digitālās darbības noturību (turpmāk - Regula 2022/2554) prasības. Asociācija uzskata, ka šāda pieeja varētu neatbilst Regulā 2022/2554 noteiktajam proporcionalitātes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līdzīga secinājuma ir nonācis arī Igaunijas likumdevējs (Rīgikogu)</w:t>
            </w:r>
            <w:r w:rsidR="00000000" w:rsidRPr="00000000" w:rsidDel="00000000">
              <w:rPr>
                <w:vertAlign w:val="superscript"/>
                <w:rtl w:val="0"/>
              </w:rPr>
              <w:t xml:space="preserve">[1]</w:t>
            </w:r>
            <w:r w:rsidR="00000000" w:rsidRPr="00000000" w:rsidDel="00000000">
              <w:rPr>
                <w:rtl w:val="0"/>
              </w:rPr>
              <w:t xml:space="preserve">, kas savos nacionālajos tiesību aktos paredzējis, ka Regulas 2022/2554 visu prasību piemērošana attiecībā uz pensiju fondu pārvaldniekiem ir pārmērīga, tādējādi nosakot tiem minimālo prasību kopumu, līdzīgi, kā to paredz likumprojekta 5.pants atsevišķām Regulas 2022/2554 finanšu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izvērtēt iespēju likumprojektā piemērot līdzīgu pieeju kā Igaunijā, nosakot pensiju fondu pārvaldniekiem minimālo prasību kopumu saskaņā ar Regulu 2022/2554. Tas veicinātu vienotu un proporcionālu regulējuma ieviešanu Baltijas valstīs, nodrošinot harmonizētu pieeju digitālās darbības noturības prasībām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Act amending the Financial Supervision Authority Act and other acts 422 SE. Pieejams: https://www.riigikogu.ee/tegevus/eelnoud/eelnou/018bb6e6-7561-4875-bdf1-68bce7d87b8a/finantsinspektsiooni-seaduse-ja-teiste-seaduste-muutmise-seadus/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to, ka Regulas Nr. 2. panta 3., 4. punkts (digitālās darbības noturības prasības nepiemēro) un 16. 1. punkts (piemēro vienkāršotas digitālās darbības noturības prasības) neparedz atvieglojumus ieguldījumu pārvaldes sabiedrībām, kuras ir definētas Regulas Nr. 2022/2554 3. panta 45. punktā. Aicinām atkārtoti izvērtēt Igaunijas piemēru attiecībā uz Regulas Nr. 2022/2554 prasību ieviešanu. Par anotācijas papildināšanu uzsveram, ka anotācijā ir aprakstīts pamatojums likumprojekta 4., 5. un 6. panta (secīgi ievieš Regulas Nr. 2022/2554 2. panta 1. punktu, 16. panta 1. punktu un 2. panta 3. un 4. punktu) redakcijām, kā arī ir atbilstoši aizpildīta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w:t>
            </w:r>
            <w:r w:rsidR="00000000" w:rsidRPr="00000000" w:rsidDel="00000000">
              <w:rPr>
                <w:b w:val="1"/>
                <w:rtl w:val="0"/>
              </w:rPr>
              <w:t xml:space="preserve">tīklu un informācijas sistēma</w:t>
            </w:r>
            <w:r w:rsidR="00000000" w:rsidRPr="00000000" w:rsidDel="00000000">
              <w:rPr>
                <w:rtl w:val="0"/>
              </w:rPr>
              <w:t xml:space="preserve"> - tīklu un informācijas sistēma Nacionālās kiberdrošības likuma 1. panta 24.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norādot korektu atsauci uz Nacionālās kiberdrošības likuma 1.panta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tīklu un informācijas sistēma - tīklu un informācijas sistēma Nacionālās kiberdrošības likuma 1. panta 22.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49. punkts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w:t>
            </w:r>
            <w:r w:rsidR="00000000" w:rsidRPr="00000000" w:rsidDel="00000000">
              <w:rPr>
                <w:b w:val="1"/>
                <w:rtl w:val="0"/>
              </w:rPr>
              <w:t xml:space="preserve">tīklu un informācijas sistēma</w:t>
            </w:r>
            <w:r w:rsidR="00000000" w:rsidRPr="00000000" w:rsidDel="00000000">
              <w:rPr>
                <w:rtl w:val="0"/>
              </w:rPr>
              <w:t xml:space="preserve"> - tīklu un informācijas sistēma Nacionālās kiberdrošības likuma 1. panta 22. punkta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vienības, kurām piemēro digitālās darbības noturības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2022/2554 2. panta 1. punkta "u" apakšpunkts noteic, ka "</w:t>
            </w:r>
            <w:r w:rsidR="00000000" w:rsidRPr="00000000" w:rsidDel="00000000">
              <w:rPr>
                <w:i w:val="1"/>
                <w:rtl w:val="0"/>
              </w:rPr>
              <w:t xml:space="preserve">[n]eskarot 3. un 4. punktu, šo regulu piemēro</w:t>
            </w:r>
            <w:r w:rsidR="00000000" w:rsidRPr="00000000" w:rsidDel="00000000">
              <w:rPr>
                <w:i w:val="1"/>
                <w:u w:val="single"/>
                <w:rtl w:val="0"/>
              </w:rPr>
              <w:t xml:space="preserve">trešām personām, kas sniedz IKT pakalpojumus</w:t>
            </w:r>
            <w:r w:rsidR="00000000" w:rsidRPr="00000000" w:rsidDel="00000000">
              <w:rPr>
                <w:rtl w:val="0"/>
              </w:rPr>
              <w:t xml:space="preserve">". Ņemot vērā likumprojektā ietverto regulējumu, tostarp likumprojekta 4. pantā ietverto subjektu uzskaitījumu, lūdzam skaidrot, vai nav nepieciešami kādi ieviešanas pasākumi saistībā ar minēto regulas normu regulas normu praktiskai piemērošanai.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 Nr. 2022/2554 pati par sevi attiecas uz "trešām personās, kas sniedz IKT pakalpojumus", piemēram, līgumiskās attiecībās starp trešo personu, kas sniedz IKT pakalpojumus un kādu no finanšu vienībām, taču likumprojekta II nodaļā minētais subjekts nav jāietver, jo Latvijas Banka uzrauga tikai licencētus un reģistrētus finanšu tirgus dalībniekus.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vienības, kurām piemēro digitālās darbības noturības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grupas uzņēmumam - grupas bruto tehnisko rezervju kopapjoms, neatskaitot summas, kas atgūstamas no pārapdrošināšanas līgumiem un īpašam nolūkam dibinātajām sabiedrībām, nepārsniedz 26,6 miljonus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terminus "grupas uzņēmums" un "grupa" nav nepieciešams aizstāt ar terminiem "koncerna sabiedrība" un "koncerns", ievērojot Gada pārskatu un konsolidēto gada pārskatu likuma 1. panta 11. punktā lietoto "koncerna" definīciju un Koncerna likuma terminoloģiju.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6. panta pirmās daļas 2. punkta "c"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koncerna sabiedrībai - koncerna bruto tehnisko rezervju kopapjoms, neatskaitot summas, kas atgūstamas no pārapdrošināšanas līgumiem un īpašam nolūkam dibinātajām sabiedrībām, nepārsniedz 26,6 miljonus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apdrošināšanas vai pārapdrošināšanas pakalpojumi neietver atbildības, kredītu un galvojumu apdrošināšanas risku, ja vien tas nav papildrisks Apdrošināšanas un pārapdrošināšanas likuma 20. panta pirmās daļas 1.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vai likumprojekta 6. panta pirmās daļas 1. punkta "d" apakšpunktā pilnībā pārņemta Eiropas Parlamenta un Padomes 2009. gada 25. novembra Direktīvas 2009/138/EK par uzņēmējdarbības uzsākšanu un veikšanu apdrošināšanas un pārapdrošināšanas jomā (Maksātspēja II) (pārstrādāta versija) 4. panta 1. punkta "d" apakšpunktā ietvertais nosacījums: "</w:t>
            </w:r>
            <w:r w:rsidR="00000000" w:rsidRPr="00000000" w:rsidDel="00000000">
              <w:rPr>
                <w:i w:val="1"/>
                <w:rtl w:val="0"/>
              </w:rPr>
              <w:t xml:space="preserve">apdrošināšanas sabiedrības uzņēmējdarbība neietver apdrošināšanas vai pārapdrošināšanas darbības, kas sedz atbildības, kredītu un galvojumu apdrošināšanas risku, ja vien tas nav papildrisks </w:t>
            </w:r>
            <w:r w:rsidR="00000000" w:rsidRPr="00000000" w:rsidDel="00000000">
              <w:rPr>
                <w:i w:val="1"/>
                <w:u w:val="single"/>
                <w:rtl w:val="0"/>
              </w:rPr>
              <w:t xml:space="preserve">16. panta 1. punkta</w:t>
            </w:r>
            <w:r w:rsidR="00000000" w:rsidRPr="00000000" w:rsidDel="00000000">
              <w:rPr>
                <w:i w:val="1"/>
                <w:rtl w:val="0"/>
              </w:rPr>
              <w:t xml:space="preserve"> nozīmē.</w:t>
            </w:r>
            <w:r w:rsidR="00000000" w:rsidRPr="00000000" w:rsidDel="00000000">
              <w:rPr>
                <w:rtl w:val="0"/>
              </w:rPr>
              <w:t xml:space="preserve">". Proti, direktīvas nosacijumā ietverta atsauce uz 16. panta 1. punktu, kas pirmšķietami varētu būt pārņemts Apdrošināšanas un pārapdrošināšanas likuma 20. panta pirmajā daļā, nevis tieši un tikai pirmās daļas 1. punktā. Attiecigi aicinām izvērtet, vai atsauce nav par šauru un attiecīgi, vai direktīvas prasība ir pilnībā pārņemta. Ja nepieciešams, aicinām precizēt likumprojektu. Alternatīvi lūdzam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likumprojekta 6. panta pirmās daļas 2. punkta "d"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apdrošināšanas vai pārapdrošināšanas pakalpojumi neietver atbildības, kredītu un galvojumu apdrošināšanas risku, ja vien tas nav papildrisks Apdrošināšanas un pārapdrošināšanas likuma 20. panta pirmās daļas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veic digitālās darbības noturības prasību uzraudzību saskaņā ar Regulas Nr. 2022/2554 46.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anotācijā ir minēts, ka Latvijas Banka ir kompetentā iestāde Regulas Nr. 2022/2554 46. panta izpratnē, aicinām likumprojektā to nepārprotami noteikt, tādējādi arī nodrošinot privātpersonām skaidru un nepārprotamu regulējumu. Līdzīgi aicinām izvērtēt, vai nav nepieciešams precizēt likumprojekta 8. panta piekto daļu (proti, nosakot, ka Latvijas Banka ir tirgus uzraudzības iestāde Regulas Nr. 2024/1689 74. panta 6. punkta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attiecībā uz likumprojekta 8. panta pirmo un piekto daļu. Precizējumi anotācijas attiecīgajās vietās veikti, lietojot Regulas Nr. 2022/2554 46. pantā lietoto vārdkopu “kompetentās iestādes”, kā arī Regulas Nr. 74. panta 6. punktā lietoto vārdkopu “tirgus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šādu vārdkopu esība likumprojektā būtu liekvārdība un tieši otrādi – radītu nekonsekvenci nacionālajos finanšu tirgus normatīvajos aktos, proti, Eiropas Savienības finanšu tirgum adresētās regulas un direktīvas nacionālos finanšu tirgus uzraugus apzīmē ar dažādām vārdkopām, piemēram, “kompetentā iestāde”, “kompetentā uzraudzības iestāde”, “uzraudzības institūcija”, “kompetentā uzraudzības institūcija” u.c. Minēto vārdkopu mērķis jau nav katrā Eiropas Savienības normatīvajā aktā  dažādi definēt nacionālos finanšu tirgus uzraugus, bet gan sniegt norādi, ka konkrētās pilnvaras vai pienākumi ir adresēti nacionālajiem finanšu tirgus uzraugiem. Latvijas gadījumā tā var būt tikai Latvijas Banka un tieši to arī paredz likumprojekta 8. panta pirmā un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veic digitālās darbības noturības prasību uzraudzību saskaņā ar Regulas Nr. 2022/2554 46.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veic digitālās darbības noturības prasību uzraudzību saskaņā ar Regulas Nr. 2022/2554 46.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Likumprojekta 7. panta pirmā daļa ievieš Regulas Nr. 2022/2554 46. pantu, kurš paredz ES normatīvo aktu uzskaitījumu, nosakot, ka digitālās darbības noturības prasību uzraudzību veic uzraudzības iestādes atbilstoši uzskaitītajiem ES normatīvajiem aktiem. </w:t>
            </w:r>
            <w:r w:rsidR="00000000" w:rsidRPr="00000000" w:rsidDel="00000000">
              <w:rPr>
                <w:i w:val="1"/>
                <w:u w:val="single"/>
                <w:rtl w:val="0"/>
              </w:rPr>
              <w:t xml:space="preserve">Latvijā ir viena uzraudzības iestāde, proti, Latvijas Banka</w:t>
            </w:r>
            <w:r w:rsidR="00000000" w:rsidRPr="00000000" w:rsidDel="00000000">
              <w:rPr>
                <w:rtl w:val="0"/>
              </w:rPr>
              <w:t xml:space="preserve">." Aicinām anotācijā izvērstāk skaidrot Regulas Nr. 2022/2554 46. panta ieviešanu, ņemot vērā minētajā normā paredzēto kompetences sadalījumu ("</w:t>
            </w:r>
            <w:r w:rsidR="00000000" w:rsidRPr="00000000" w:rsidDel="00000000">
              <w:rPr>
                <w:i w:val="1"/>
                <w:u w:val="single"/>
                <w:rtl w:val="0"/>
              </w:rPr>
              <w:t xml:space="preserve">Neskarot šīs regulas V nodaļas II iedaļā</w:t>
            </w:r>
            <w:r w:rsidR="00000000" w:rsidRPr="00000000" w:rsidDel="00000000">
              <w:rPr>
                <w:i w:val="1"/>
                <w:rtl w:val="0"/>
              </w:rPr>
              <w:t xml:space="preserve"> minētos noteikumus par kritiski svarīgu trešo personu, kas sniedz IKT pakalpojumus, pārraudzības sistēmu, </w:t>
            </w:r>
            <w:r w:rsidR="00000000" w:rsidRPr="00000000" w:rsidDel="00000000">
              <w:rPr>
                <w:i w:val="1"/>
                <w:u w:val="single"/>
                <w:rtl w:val="0"/>
              </w:rPr>
              <w:t xml:space="preserve">šīs regulas izpildi saskaņā ar pilnvarām, kas piešķirtas ar attiecīgiem tiesību aktiem</w:t>
            </w:r>
            <w:r w:rsidR="00000000" w:rsidRPr="00000000" w:rsidDel="00000000">
              <w:rPr>
                <w:i w:val="1"/>
                <w:rtl w:val="0"/>
              </w:rPr>
              <w:t xml:space="preserve">, nodrošina šādas kompetentās iestādes [..]</w:t>
            </w:r>
            <w:r w:rsidR="00000000" w:rsidRPr="00000000" w:rsidDel="00000000">
              <w:rPr>
                <w:rtl w:val="0"/>
              </w:rPr>
              <w:t xml:space="preserve">"). Proti, skaidrības labad aicinām anotācijā konkrēti norādīt, ja Latvijas Banka ir Regulas Nr. 2022/2554 46. panta apakšpunktos minētā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Regulas Nr. 2022/2554 46. panta ieviešanu lūdzam arī skaidrot, piemēram, Regulas Nr. 2022/2554 32. panta 5. punkta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pirmā daļa ievieš Regulas Nr. 2022/2554 46. pantu, kurš paredz ES normatīvo aktu uzskaitījumu, nosakot, ka digitālās darbības noturības prasību uzraudzību veic uzraudzības iestādes atbilstoši uzskaitītajiem ES normatīvajiem aktiem. Regulas Nr. 46. panta uzskaitījums no "a" - "'q" apakšpunktam ir veidots apzināti, jo ES ir dalībvalstis, kurās ir vairāki finanšu tirgus uzraugi ar nodalītām kompetencēm. Latvijā Regulas Nr. 2022/2554 46. pantā uzskaitītos subjektus uzrauga Latvijas Banka. Tāpat Regulas Nr. 2022/2554 32. panta 5. punkts paredz Latvijas Bankai deleģēt augsta līmeņa pārstāvi, kurš piedalās Apvienotās komitejas izveidotajā pārraudzības forumā.".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aicinam Regulu Nr. 2022/2554 un Direktīva Nr. 2022/2556 lasīt kopsakarā ar Direktīvu Nr. 2022/2555 (transponēta Nacionālās kiberdrošības likumā) un Direktīvu Nr. 2022/2557, proti, Regulas Nr. 2022/2554 32. pants adresēts Eiropas uzraudzības iestādei jeb EUI un Apvienotajai komitejai atbilstoši Regulas Nr. 2022/2554 3. panta 62. punktam. Regula pati par sevi ir tieši piemērojama un ieviešot Regulas Nr. 2022/2554 46. pantu likumprojekta 7. pantā ir skaidrs, ka Regulas Nr. 2022/2554 32. panta 5. punktā minētais pārstāvis būs no Latvijas Bankas.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veic digitālās darbības noturības prasību uzraudzību saskaņā ar Regulas Nr. 2022/2554 46.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Bankai ir tiesības nolūkā nodrošināt digitālās darbības noturību vai mākslīgā intelekta izmantošanu atbilstoši šā likuma un tieši piemērojamo Eiropas Savienības tiesību aktu prasībām papildus noteikt darbību regulējošas prasības un kārtību šo prasību izpildei jomās, kuras netiek regulētas ar tieši piemērojamiem Eiropas Savienības tiesību aktiem, kā arī noteikt prasības, ievērojot Eiropas Banku iestādes, Eiropas Apdrošināšanas un aroda pensiju iestādes vai Eiropas Vērtspapīru un tirgu iestādes pieņemtos lēmums, pamatnostādnes un ieteikumus vai kārtību šo prasību izpildei, lai nodrošinātu digitālās darbības noturības un mākslīgā intelekta izmantošanas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8. panta septītajā daļā konkretizēt, </w:t>
            </w:r>
            <w:r w:rsidR="00000000" w:rsidRPr="00000000" w:rsidDel="00000000">
              <w:rPr>
                <w:u w:val="single"/>
                <w:rtl w:val="0"/>
              </w:rPr>
              <w:t xml:space="preserve">kā</w:t>
            </w:r>
            <w:r w:rsidR="00000000" w:rsidRPr="00000000" w:rsidDel="00000000">
              <w:rPr>
                <w:rtl w:val="0"/>
              </w:rPr>
              <w:t xml:space="preserve"> vai </w:t>
            </w:r>
            <w:r w:rsidR="00000000" w:rsidRPr="00000000" w:rsidDel="00000000">
              <w:rPr>
                <w:u w:val="single"/>
                <w:rtl w:val="0"/>
              </w:rPr>
              <w:t xml:space="preserve">kādu</w:t>
            </w:r>
            <w:r w:rsidR="00000000" w:rsidRPr="00000000" w:rsidDel="00000000">
              <w:rPr>
                <w:rtl w:val="0"/>
              </w:rPr>
              <w:t xml:space="preserve"> darbību regulējošas prasības Latvijas Bankai ir tiesības noteikt.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8. panta septītās daļas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Bankai ir tiesības nolūkā nodrošināt digitālās darbības noturību vai mākslīgā intelekta izmantošanu atbilstoši šā likuma un tieši piemērojamo Eiropas Savienības tiesību aktu prasībām papildus noteikt citas digitālās darbības noturības vai mākslīgā intelekta izmantošanas darbību regulējošas prasības un kārtību šo prasību izpildei jomās, kuras netiek regulētas ar tieši piemērojamiem Eiropas Savienības tiesību aktiem, kā arī noteikt prasības, ievērojot Eiropas Banku iestādes, Eiropas Apdrošināšanas un aroda pensiju iestādes vai Eiropas Vērtspapīru un tirgu iestādes pieņemtos lēmums, pamatnostādnes un ieteikumus vai kārtību šo prasību izpildei, lai nodrošinātu digitālās darbības noturības un mākslīgā intelekta izmantošanas 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Finanšu vienības pienākums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anotācijā iekļaut vispārīgu skaidrojumu par Regulas Nr.2022/2554 prasībām attiecībā uz digitālās darbības noturību, lai finanšu tirgus dalībniekiem būtu nepārprotami skaidrs, par kādām izmaiņām finanšu vienībām ar likumprojekta 8.pantu uzlikts pienākums paziņot Latvijas Bankai.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 atbilstoši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"Detalizētas ziņošanas prasības paredz Regula Nr. 2022/2554 un uz tās pamata izdotie normatīvie akti, piemēram, plašāku aprakstu par ziņošanas pienākumu ietver Regulas Nr. 2022/2554 preambulas 51. – 55. apsvērums, ziņošanu vispārīgi atrunā, piemēram, Regulas Nr. 2022/2554 13. panta 2. punkts, tāpat ziņošanas pienākums ir cieši saistīts ar Regulas Nr. 2022/2554 preambulas 7. un 99. apsvērumu, proti, Eiropas Banku iestādes, Eiropas Apdrošināšanas un aroda pensiju iestādes vai Eiropas Vērtspapīru un tirgu iestādes pieņemto lēmumu, pamatnostādņu un ieteikumu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Finanšu vienības pienākums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digitālās darbības noturības prasību izpildi, finanšu vienība informē Latvijas Banku par visām būtiskām izmaiņām, tai skaitā par visiem apstākļiem, kuri var negatīvi ietekmēt finanšu vienības turpmāko darbību, vai izmaiņām informācijā, ko tā sniegusi Latvijas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konkretizēt likumprojektā vai anotācijā sniegt skaidrojumu, par kādām izmaiņām finanšu vienība informē Latvijas Banku, ņemot vērā, ka "būtiskas izmaiņas" varētu būt subjektīvi intepretējama vārdkopa. Papildus lūdzam izvērtēt, vai šāda norma likumprojektā ir nepieciešama, ņemot vērā, ka atbilstoši arī anotācijā ietvertajai informācijai "</w:t>
            </w:r>
            <w:r w:rsidR="00000000" w:rsidRPr="00000000" w:rsidDel="00000000">
              <w:rPr>
                <w:i w:val="1"/>
                <w:rtl w:val="0"/>
              </w:rPr>
              <w:t xml:space="preserve">[d]etalizētas ziņošanas prasības paredz Regula Nr. 2022/2554 un uz tās pamata izdotie normatīvie akti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iespēju precizēt likumprojekta 9. pantu secinājām, ka būtībā vārdkopu “būtiskas izmaiņas” pamatā jau iezīmē minētā panta teksts pēc vārdiem “tai skaitā”. Tāpat aicinām ņemt vērā anotācijas skaidrojumu attiecībā uz to, ka uz Regulas Nr. 2022/2554 pamata tiks izdoti Eiropas Savienības normatīvie akti, kuri paredzēs detalizētāku regulējumu atsevišķām Regulas Nr. 2022/2554 prasībām. Tāpat likumprojekta 8. panta septītā daļa paredz deleģējumu Latvijas Bankai noteikt darbību regulējošās prasības un kārtību, piemēram, Eiropas Banku iestādes pieņemtā lēmuma sakarā un šāds lēmums var paredzēt ko būtisku, par ko finanšu vienībai ir jāinformē Latvijas Banka.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Regulas Nr. 2022/2554 prasību izpildi, finanšu vienība informē Latvijas Banku par visām būtiskām izmaiņām, tai skaitā par visiem apstākļiem, kuri var negatīvi ietekmēt finanšu vienības turpmāko darbību, vai izmaiņām informācijā, ko tā sniegusi Latvijas Bankai.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Sankcijas un administratīvie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pantu ar ceturto daļu piedāvātajā redakcijā. Šādas normas iekļaušana novērsīs interpretācijas iespējas par budžetu, kas saņem uzlikto piespiedu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soda naudas ieskaitāmas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 pantas papildināts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Šajā pantā minēto soda naudu ieskaita valsts pamatbudžetā.".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Sankcijas un administratīvie pasākumi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brīdinājumu, norādot ziņas par pārkāpuma atbildīgo fizisko vai juridisko personu un tās izdarīto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jēdzienu "brīdinājums" likumprojekta izpratnē, tostarp, vai brīdinājums tiek izteikts raksveidā vai mutvārdos. Piemēram, Ieguldījumu brokeru sabiedrības likuma 68. pantā ir norādīts, ka brīdinājums ir par pārkāpumu atbildīgās fiziskās vai juridiskās personas izdarīta pārkāpuma nosodījums, ko izsaka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ietvertā piebilde – "norādot ziņas par pārkāpuma atbildīgo fizisko vai juridisko personu un tās izdarīto pārkāpumu" – vedina domāt, ka brīdinājuma izteikšana varētu būt saistīta ar ziņu publicēšanu.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apakšadaļa attiecīgajā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brīdinājuma piemērošana izriet no Regulas Nr. 2022/2554 50. panta 4. punkta “e” apakšpunkta, kurā tas ir noformulēts kā "publisks paziņojums". ES normatīvajos aktos lietotais apzīmējums "publisks paziņojums" Latvijas tiesību sistēmā pēc būtības atbilst brīdinājumam.".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 ka Ieguldījumu brokeru sabiedrību likumā ir transponēta Direktīva Nr. 2019/2034, taču ar šo likumprojektu tiek ieviesta Regula Nr. 2022/2554, kuras prasības ir tieši piemērojamas. Mūsu ieskatā "brīdinājuma" definēšana pati par sevi neko nerisinātu, jo brīdinājums kā sankcija tiek piemērota Administratīvā procesa likuma ietvaros, izdodot administratīvo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Bankai ir Regulas Nr. 2022/2554 50. panta 2. punktā noteiktās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Tieslietu ministrijas 11.11.2024. un 20.12.2024.  atzinumā minētais iebildums ir ņemts vērā tikai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10. pantā ir aprakstīts sodošs process, ir nepieciešams konkrēti atrunāt Latvijas Bankas pilnvaras, kas attiecas tikai uz izmeklēšanu un sodīšanu. Regulas Nr. 2022/2554 50. panta 2. punktā cita starpā ir ietvertas tiesības uzraudzības īstenošanā, nevis tikai pilnvaras, kas attiecas arī uz izmeklēšanu un sodīšanu. Uzraudzības process pēc būtības ir nošķirams no izmeklēšanas un sodīšanas procesa. Tāpat pants ir salāgojams ar likumprojekta 8.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likumprojekta 10. pantā tieši norādīt, ka šīs pilnvaras attiecas uz izmeklēšanu un sankciju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panta otrā daļa un 10. panta otrā 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Bankai ir Regulas Nr. 2022/2554 50. panta 2. punktā noteiktās tiesības uz izmeklēšanu, sankciju un administratīvo pasākumu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fiziskā vai juridiskā persona izbeidz attiecīgo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likumprojekta 9. panta otrās daļas 1. punktu pēc vārda "persona" papildināt ar vārdu "nekavējoties".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likumprojekta 10. panta trešās daļas 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lai par pārkāpumu atbildīgā fiziskā vai juridiskā persona nekavējoties izbeidz attiecīgo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Sankciju un administratīvo pasākumu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likumprojektā nav norādāmi kritēriji un citi apstākļi, kurus Latvijas Banka ņem vērā, pieņemot lēmumu par sankciju un administratīvo pasākumu piemērošanu un par naudas soda apmēru. Piemēram, šādi kritēriji ir uzskaitīti Ieguldījumu brokeru sabiedrības 74. pantā, Kredītiestāžu likuma 208. </w:t>
            </w:r>
            <w:r w:rsidR="00000000" w:rsidRPr="00000000" w:rsidDel="00000000">
              <w:rPr>
                <w:vertAlign w:val="superscript"/>
                <w:rtl w:val="0"/>
              </w:rPr>
              <w:t xml:space="preserve">1</w:t>
            </w:r>
            <w:r w:rsidR="00000000" w:rsidRPr="00000000" w:rsidDel="00000000">
              <w:rPr>
                <w:rtl w:val="0"/>
              </w:rPr>
              <w:t xml:space="preserve"> otrajā daļā, Vērtspapīrošanas likuma 27. pantā un citos nozari regulējošajos normatīvajos aktos. Vienlaikus Regulas Nr. 2022/2554 51. panta otrajā daļā ir uzskaitīti nozīmīgi apstākļi (kritēriji), kurus uzraudzības iestādei (Latvijas Bankai) ir jāņem vērā, nosakot piemērojamo sankciju vai administratīvā pasākuma veidu. Regulas tieši piemērojamais regulējums projektā nav iekļaujams.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apakšsadaļa attiecīgajā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piemērojot sankcijas ir jāņem vērā Regulas Nr. 2022/2554 50. panta 2. punktā noteiktie kritēriji, kuri pēc būtības jau atbilst Latvijas Bankas likuma 62. panta trešajā daļā noteiktajiem kritērijiem par sankciju piemērošanu personām, kuras pārkāpušas finanšu tirgus jomu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Latvijas Bankas likuma 62. panta trešā daļa jau paredz kritērijus un apstākļus, kuri Latvijas Bankai jāņem vērā, pieņemot lēmumu par sankciju piemērošanu, tai skaitā par soda naudas apmēru. Tāpat uzsveram, ka Latvijas Bankas likums ir stājies spēkā 2023. gada 1. janvārī, proti, Ieguldījumu brokeru sabiedrību likums un Kredītiestāžu likums ir vecāks un tajos visticamāk ir transponētas attiecīgas direktīvas, kuru normas ir saglabājušās. Tāpēc uzsveram, ka Regulas Nr. 2022/2554 51. panta 2. punkts jau atbilst tam, ko paredz Latvijas Bankas likuma 62. panta trešā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Sankciju un administratīvo pasākumu piemērošana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Informēšana par piemērotajām sankcijām un administratīvajiem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aicinām likumprojektu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precizēto anotācijas 1.3. sadaļu attiecībā uz likumprojekta 12. panta redakciju un tā nepieciešamību, tāpat arī precizēto likumprojekta 12. pantu. Atgādinām, ka būtībā tiek dublēts Regulas Nr. 2022/2554 regulējums attiecībā uz informēšanu par piemērotajām sankcijām un administratīvajiem pasākumiem, lai korekti ieviestu Regulas Nr. 2024/1689 prasības finanšu tirgus uzraudzības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Informēšana par piemērotajām sankcijām un administratīvajiem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piemēroti par pārkāpumu atbildīgajām fiziskajām vai juridiskajām personām, pēc tam, kad tā ir paziņota adresātam, ievieto savā tīmekļvietnē, norādot ziņas par personu un tās izdarīto pārkāpumu, kā arī par Latvijas Bankas izdotā administratīvā akta apstrīdēšanu, pārsūdzēšanu un pieņemto nolēmumu.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likuma 70. panta pirmajā daļā noteiktajam </w:t>
            </w:r>
            <w:r w:rsidR="00000000" w:rsidRPr="00000000" w:rsidDel="00000000">
              <w:rPr>
                <w:u w:val="single"/>
                <w:rtl w:val="0"/>
              </w:rPr>
              <w:t xml:space="preserve">administratīvo aktu (nevis informāciju par to) paziņo adresātam</w:t>
            </w:r>
            <w:r w:rsidR="00000000" w:rsidRPr="00000000" w:rsidDel="00000000">
              <w:rPr>
                <w:rtl w:val="0"/>
              </w:rPr>
              <w:t xml:space="preserve">, lūdzam precizēt likumprojekta 12. panta pirmajā daļā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pirmā 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piemēroti par Regulas Nr. 2022/2554 prasību pārkāpumu par pārkāpumu atbildīgajām fiziskajām vai juridiskajām personām, pēc tam, kad administratīvais akts ir paziņots adresātam, ievieto savā tīmekļvietnē, norādot ziņas par personu (fiziskajai personai — vārds, uzvārds; juridiskajai personai — nosaukums un reģistrācijas numurs) un tās izdarīto pārkāpumu (veids, piemērotā sankcija, administratīvais pasākums, lēmuma spēkā stāšanās datums), kā arī par Latvijas Bankas izdotā administratīvā akta apstrīdēšanu, pārsūdzēšanu un pieņemto nolēmumu.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8. panta piekto un sesto daļu, 10. panta otro un trešo daļu, 11. panta otro daļu un 12. panta pirmo, otro, trešo un ceturto daļu piemēro no 2025. gada 2.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un precizēt likumprojektu vai arī skaidrot, kādēļ likumprojekta pārejas noteikumā ietverta atsauce uz 10. panta </w:t>
            </w:r>
            <w:r w:rsidR="00000000" w:rsidRPr="00000000" w:rsidDel="00000000">
              <w:rPr>
                <w:u w:val="single"/>
                <w:rtl w:val="0"/>
              </w:rPr>
              <w:t xml:space="preserve">otro</w:t>
            </w:r>
            <w:r w:rsidR="00000000" w:rsidRPr="00000000" w:rsidDel="00000000">
              <w:rPr>
                <w:rtl w:val="0"/>
              </w:rPr>
              <w:t xml:space="preserve"> daļu, kurā ietverta atsauce uz Eiropas Parlamenta un Padomes 2022. gada 14. decembra </w:t>
            </w:r>
            <w:r w:rsidR="00000000" w:rsidRPr="00000000" w:rsidDel="00000000">
              <w:rPr>
                <w:u w:val="single"/>
                <w:rtl w:val="0"/>
              </w:rPr>
              <w:t xml:space="preserve">Regulas (ES) 2022/2554</w:t>
            </w:r>
            <w:r w:rsidR="00000000" w:rsidRPr="00000000" w:rsidDel="00000000">
              <w:rPr>
                <w:rtl w:val="0"/>
              </w:rPr>
              <w:t xml:space="preserve"> par finanšu nozares digitālās darbības noturību un ar ko groza Regulas (EK) Nr. 1060/2009, (ES) Nr. 648/2012, (ES) Nr. 600/2014, (ES) Nr. 909/2014 un (ES) 2016/1011 vienību. Atgādinām, ka minētā regula ir piemērojama no 2025. gada 17. janvāra (sk. regulas 64.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pārliecināties, ka pārejas noteikums kopumā ir pilnīgs un korekts, ņemot vērā Eiropas Parlamenta un Padomes 2024. gada 13. jūnija </w:t>
            </w:r>
            <w:r w:rsidR="00000000" w:rsidRPr="00000000" w:rsidDel="00000000">
              <w:rPr>
                <w:u w:val="single"/>
                <w:rtl w:val="0"/>
              </w:rPr>
              <w:t xml:space="preserve">Regulas (ES) 2024/1689</w:t>
            </w:r>
            <w:r w:rsidR="00000000" w:rsidRPr="00000000" w:rsidDel="00000000">
              <w:rPr>
                <w:rtl w:val="0"/>
              </w:rPr>
              <w:t xml:space="preserve">, ar ko nosaka saskaņotas normas mākslīgā intelekta jomā un groza Regulas (EK) Nr. 300/2008, (ES) Nr. 167/2013, (ES) Nr. 168/2013, (ES) 2018/858, (ES) 2018/1139 un (ES) 2019/2144 un Direktīvas 2014/90/ES, (ES) 2016/797 un (ES) 2020/1828 113. pantu, kas noteic, ka regulu piemēro no 2026. gada 2. augusta, kā arī noteic izņēmumus par regulas atsevišķu prasību ātrāku vai vēlāku piemērošanu. Ja nepieciešams, aicinām papildināt vai precizēt pārejas noteikumu, kā arī attiecīgi anotācijā sniegt pārejas noteikuma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noteikums atbilstoši precizēts, izslēdzot atsauci uz 10. 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8. panta piekto un sesto daļu, 10. panta trešo daļu, 11. panta otro daļu un 12. panta pirmo, otro, trešo un ceturto daļu piemēro no 2025. gada 2. augusta.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8. panta piekto un sesto daļu, 10. panta otro daļu, 11. panta otro daļu un 12. panta pirmo, otro, trešo un ceturto daļu piemēro no 2025. gada 2.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pārejas noteikumā ietverta atsauce uz pareizo 10. panta vienību (proti, ietverta atsauce uz otro, nevis trešo daļu), un vai nu to precizēt, vai arī sniegt pamatotu skaidrojumu. Aicinām arī pārliecināties, ka pārejas noteikums kopumā ir pilnīgs un korekts. Ja nepieciešams, aicinām to papildināt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8. panta piekto un sesto daļu, 10. panta trešo daļu, 11. panta otro daļu un 12. panta pirmo, otro, trešo un ceturto daļu piemēro no 2025. gada 2. augusta.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1. panta 40. punktu, 7. pantu, 8. panta piekto un sesto daļu, 10. panta otro daļu, 11. panta otro daļu par mākslīgā intelekta izmantošanas piemēro no 2025. gada 2.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"par mākslīgā intelekta izmantošanas" vai citādi atbilstoši precizēt pārejas noteikumu. Papildus lūdzam papildināt pārejas noteikumu ar atsauci uz 12. pantu, ņemot vērā, ka, kā anotācijā norādīts, 12. pants "</w:t>
            </w:r>
            <w:r w:rsidR="00000000" w:rsidRPr="00000000" w:rsidDel="00000000">
              <w:rPr>
                <w:i w:val="1"/>
                <w:rtl w:val="0"/>
              </w:rPr>
              <w:t xml:space="preserve">ir nepieciešams, jo Regula Nr. 2024/1689 šādu pienākumu neparedz</w:t>
            </w:r>
            <w:r w:rsidR="00000000" w:rsidRPr="00000000" w:rsidDel="00000000">
              <w:rPr>
                <w:rtl w:val="0"/>
              </w:rPr>
              <w:t xml:space="preserve">". Lūdzam arī izvērtēt un, ja nepieciešams, precizēt likumprojektu atbilstoši Regulas Nr. 2024/1689 113. pantā ietverto regulējumu par atsevišķu regulas vienību piemērošanas sākuma datumu (piemēram, regulas I un II nodaļu piemēro no 2025. gada 2. februāra, tātad arī regulas 2. pantu, kas noteic, kam regulu 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noteikums atbilstoši precizēts un vārdkopa “par mākslīgā intelekta izmantošanas”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8. panta piekto un sesto daļu, 10. panta trešo daļu, 11. panta otro daļu un 12. panta pirmo, otro, trešo un ceturto daļu piemēro no 2025. gada 2. augusta.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(LVCA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Finanšu tirgus digitālās darbības noturības likuma anotāciju: tā būtībā pasaka, ka likums pieņemts, lai nodrošinātu tiešu regulas piemērojamību, kas ir pretrunā ar LESD 288.pantu (Līgums par Eiropas Savienības darbību). Skat arī šeit:  https://www.tm.gov.lv/lv/metodiskie-ieteikumi/es-tiesibu-ieviesanas-rokasgramata_25092014.pdf   26.lpp. =&gt; “Regulu tiešās piemērojamības princips nozīmē to, ka regulas kļūst par ES dalībvalsts nacionālo tiesību kopuma daļu bez nacionālo tiesību starpniecības, t. i., atšķirībā, piemēram, no direktīvām regulas nav jāpārņem nacionālajos tiesību aktos, vēl jo vairāk, tas pat ir aizliegts”. Uzskatām, ka būtu nepieciešams attiecīgi precizēt pieņemšanas pamatojumu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papildinājumu anotācijā attiecībā uz Tieslietu ministrijas 1.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regulas tiešas piemērojamības princips nenozīmē to, ka atsevišķas ES regulas normas nav jāievieš, proti, ES regulu ieviešana neaprobežojas tikai ar regulas normu ieviešanu, kuras paredz dalībvalstij rīcības brīvības (piemēram, Regulas Nr. 2022/2554 2. panta 4. punkts), kā arī paredz dalībvalstij pienākumu noteikt prasības kādā jomā atbilstoši nacionālajiem normatīvajiem aktiem (piemēram, Regulas Nr. 2022/2554 50. panta 4. un 6. punkts ar formulējumiem “dalībvalstis piešķir”, “dalībvalstis nodrošina”), bet būtiska uzmanība jāpievērš ES regulas normām, kurās ir atsauces uz ES direktīvām, proti, minēto normu “atšifrēšana” jeb ieviešana spēlē nozīmīgu lomu regulas tiešas piemērošanas nodrošināšanai pat, ja atsevišķas regulas normas ir jāpārraksta.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apakšsadaļā norādīto likuma spēkā stāšanās termiņu (nākamā diena pēc izsludināšanas) vai atbilstoši precizēt likumprojektu, jo pašreiz tāds spēkā stāšanās termiņš likumprojektā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tā  spēkā 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8. panta ceturtajā daļā paredzētā pilnvarojuma nepieciešamību aicinām anotācijā skaidrot, ar kāda veida tiesību aktu Komisija pieņems anotācijā minētos regulatīvos tehniskos standartus. Norādām, ka, ja tiks pieņemta regula, tā ir tieši piemērojama. Attiecīgi lūdzam sniegt skaidrojumu par iepriekš minēto kontekstā ar pilnvarojuma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Regulatīvi tehniskie standarti jeb RTS nav regula, bet gan uz regulas pamata izdoti detalizēti noteikumi kādai regulas sadaļai. Regulas Nr. 2022/2554 gadījumā, piemēram, RTS draudu vadītas ielaušanās testēšanai. Pilnvarojums nepieciešams, lai Latvijas Banka RTS var ieviest un piemērot ar Latvijas Bankas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 panta astotā daļa noteic, ka privātpersona ir </w:t>
            </w:r>
            <w:r w:rsidR="00000000" w:rsidRPr="00000000" w:rsidDel="00000000">
              <w:rPr>
                <w:u w:val="single"/>
                <w:rtl w:val="0"/>
              </w:rPr>
              <w:t xml:space="preserve">fiziskā persona, privāto tiesību juridiskā persona vai šādu personu apvienība</w:t>
            </w:r>
            <w:r w:rsidR="00000000" w:rsidRPr="00000000" w:rsidDel="00000000">
              <w:rPr>
                <w:rtl w:val="0"/>
              </w:rPr>
              <w:t xml:space="preserve">. Savukārt Administratīvā procesa likuma 1. panta devītā daļa noteic, ka publisko tiesību subjekts ir </w:t>
            </w:r>
            <w:r w:rsidR="00000000" w:rsidRPr="00000000" w:rsidDel="00000000">
              <w:rPr>
                <w:u w:val="single"/>
                <w:rtl w:val="0"/>
              </w:rPr>
              <w:t xml:space="preserve">publisko tiesību juridiskā persona</w:t>
            </w:r>
            <w:r w:rsidR="00000000" w:rsidRPr="00000000" w:rsidDel="00000000">
              <w:rPr>
                <w:rtl w:val="0"/>
              </w:rPr>
              <w:t xml:space="preserve"> tās orgāna vai cita tāda institucionāla veidojuma personā, kuram piemīt administratīvi procesuālā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par to, ka </w:t>
            </w:r>
            <w:r w:rsidR="00000000" w:rsidRPr="00000000" w:rsidDel="00000000">
              <w:rPr>
                <w:u w:val="single"/>
                <w:rtl w:val="0"/>
              </w:rPr>
              <w:t xml:space="preserve">termina "fiziskā persona" un "juridiskā persona" lietojums nodaļā "Atbildība" izvēlēts apzināti, lai salāgotu terminoloģiju ar Administratīvā procesa likumu</w:t>
            </w:r>
            <w:r w:rsidR="00000000" w:rsidRPr="00000000" w:rsidDel="00000000">
              <w:rPr>
                <w:rtl w:val="0"/>
              </w:rPr>
              <w:t xml:space="preserve">, jo Latvijas Banka sankcijas un administratīvos pasākumus piemēro Administratīvā procesa likuma ietvaros, izdodot administratīvo aktu, kā arī izvērtēt nepieciešamību attiecīgi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likumprojektā ietvertos pilnvarojumus Latvijas Bankai, īpaši likumprojekta 6. panta trešajā daļā paredzēto pilnvarojumu, izvērtējot, vai paredzētais pilnvarojums nav pārāk plašs. Lūdzam izvērtēt iespēju precizēt likumprojektu, ietverot vadlīnijas Latvijas Bankai, kā pilnvarojumu īstenot (piemēram, kāda veida prasības Latvijas Banka nosaka, kādas ir to pieļaujamās robežas u.tml.). Aicinām arī anotācijā aprakstīt jauno noteikumu saturisko ietvaru, tādējādi nodrošinot, ka vēlāk, izstrādājot noteikumu projektu, nepieciešamās lietas ir iespējams iekļaut projektā, jo to paredz pilnvarojuma saturiskais tvērums, kā arī pilnvarojumu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arī izvērtēt likumprojektā paredzēto pilnvarojumu atbilstību Ministru kabineta 2009. gada 3. februāra noteikumu Nr. 108 "Normatīvo aktu projektu sagatavošanas noteikumi" (turpmāk -  Noteikumi Nr. 108) 2.5. apakšnodaļā ietvertajām prasībām, tostarp 49. punktam (</w:t>
            </w:r>
            <w:r w:rsidR="00000000" w:rsidRPr="00000000" w:rsidDel="00000000">
              <w:rPr>
                <w:i w:val="1"/>
                <w:rtl w:val="0"/>
              </w:rPr>
              <w:t xml:space="preserve">"Likumprojektā, ja nepieciešams, ietver pilnvarojumu Latvijas Bankai [..] </w:t>
            </w:r>
            <w:r w:rsidR="00000000" w:rsidRPr="00000000" w:rsidDel="00000000">
              <w:rPr>
                <w:i w:val="1"/>
                <w:u w:val="single"/>
                <w:rtl w:val="0"/>
              </w:rPr>
              <w:t xml:space="preserve">likumprojekta izpildes nodrošināšanai </w:t>
            </w:r>
            <w:r w:rsidR="00000000" w:rsidRPr="00000000" w:rsidDel="00000000">
              <w:rPr>
                <w:i w:val="1"/>
                <w:rtl w:val="0"/>
              </w:rPr>
              <w:t xml:space="preserve">izdot ārēju normatīvo aktu – noteikumus. Pilnvarojumā </w:t>
            </w:r>
            <w:r w:rsidR="00000000" w:rsidRPr="00000000" w:rsidDel="00000000">
              <w:rPr>
                <w:i w:val="1"/>
                <w:u w:val="single"/>
                <w:rtl w:val="0"/>
              </w:rPr>
              <w:t xml:space="preserve">detalizēti nosaka</w:t>
            </w:r>
            <w:r w:rsidR="00000000" w:rsidRPr="00000000" w:rsidDel="00000000">
              <w:rPr>
                <w:i w:val="1"/>
                <w:rtl w:val="0"/>
              </w:rPr>
              <w:t xml:space="preserve"> Latvijas Bankas, Finanšu un kapitāla tirgus komisijas vai Sabiedrisko pakalpojumu regulēšanas komisijas </w:t>
            </w:r>
            <w:r w:rsidR="00000000" w:rsidRPr="00000000" w:rsidDel="00000000">
              <w:rPr>
                <w:i w:val="1"/>
                <w:u w:val="single"/>
                <w:rtl w:val="0"/>
              </w:rPr>
              <w:t xml:space="preserve">noteikumu satura galvenos virzienus</w:t>
            </w:r>
            <w:r w:rsidR="00000000" w:rsidRPr="00000000" w:rsidDel="00000000">
              <w:rPr>
                <w:rtl w:val="0"/>
              </w:rPr>
              <w:t xml:space="preserve">.") un 50. punktam ("</w:t>
            </w:r>
            <w:r w:rsidR="00000000" w:rsidRPr="00000000" w:rsidDel="00000000">
              <w:rPr>
                <w:i w:val="1"/>
                <w:rtl w:val="0"/>
              </w:rPr>
              <w:t xml:space="preserve">Latvijas Bankas [..] noteikumi </w:t>
            </w:r>
            <w:r w:rsidR="00000000" w:rsidRPr="00000000" w:rsidDel="00000000">
              <w:rPr>
                <w:i w:val="1"/>
                <w:u w:val="single"/>
                <w:rtl w:val="0"/>
              </w:rPr>
              <w:t xml:space="preserve">detalizē likumprojektā ietvertu regulējumu</w:t>
            </w:r>
            <w:r w:rsidR="00000000" w:rsidRPr="00000000" w:rsidDel="00000000">
              <w:rPr>
                <w:i w:val="1"/>
                <w:rtl w:val="0"/>
              </w:rPr>
              <w:t xml:space="preserve">. Likumprojektā </w:t>
            </w:r>
            <w:r w:rsidR="00000000" w:rsidRPr="00000000" w:rsidDel="00000000">
              <w:rPr>
                <w:i w:val="1"/>
                <w:u w:val="single"/>
                <w:rtl w:val="0"/>
              </w:rPr>
              <w:t xml:space="preserve">neietver pilnvarojumu</w:t>
            </w:r>
            <w:r w:rsidR="00000000" w:rsidRPr="00000000" w:rsidDel="00000000">
              <w:rPr>
                <w:i w:val="1"/>
                <w:rtl w:val="0"/>
              </w:rPr>
              <w:t xml:space="preserve"> Latvijas Bankai, Finanšu un kapitāla tirgus komisijai vai Sabiedrisko pakalpojumu regulēšanas komisijai izdot noteikumus </w:t>
            </w:r>
            <w:r w:rsidR="00000000" w:rsidRPr="00000000" w:rsidDel="00000000">
              <w:rPr>
                <w:i w:val="1"/>
                <w:u w:val="single"/>
                <w:rtl w:val="0"/>
              </w:rPr>
              <w:t xml:space="preserve">jautājumā, kas nav ietverts likumprojektā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anotācijā skaidrot, par kādu informācijas reģistru likumprojekta 8. panta ceturtajā daļā paredzētajā pilnvarojumā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aizpildīt anotācijas 4. sadaļu, norādot informāciju par saistītajiem tiesību aktu projektiem. Izziņā nekorekti norādīts, ka "anotācijas 4. sadaļa aizpildāma, ja saistītu likumprojektu izstrādā/virza kāda cita institūcija". Vēršam uzmanību, ka anotācijas 4. sadaļā norāda citastarp saistīto tiesību aktu nosaukumu, pamatojumu un aprakstu, kā arī atbildīgo institūciju (Vadlīnijas tiesību akta projekta sākotnējās ietekmes novērtēšanai un novērtējuma ziņojuma sagatavošanai Vienotajā tiesību aktu izstrādes un saskaņošanas portālā. Rīga: Valsts kanceleja, 2021, 43. lpp.). Attiecīgi atkārtoti aicinām aizpildīt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sēdes protokollēmuma projektā norādīto, aicinām papildināt anotācijas 4. sadaļu, norādot saistītos tiesību aktu projektus. Līdzīgi aicinām precizēt arī saistīto tiesību aktu projektu anotāciju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 sadaļa aizpildāma, ja saistītu likumprojektu izstrādā/virza kāda cita institūcija (piemēram, Valsts kanceleja vai kāda cita ministrija). Tāpat vēršam uzmanību, ka saistītie likumprojekti ir norādīti MK protokollēmuma projektā un TAP portāla sadaļā "Saistītie 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5.4. apakšsadaļas 1. tabulu, sniedzot pēc iespējas pilnīgāku informāciju par Regulas Nr. 2024/1689 prasību ieviešanu attiecībā uz Finanšu ministrijas un Latvijas Bankas kā tirgus uzraudzības iestādes atbildības jomu atbilstoši informatīvā ziņojumam "Par Mākslīgā intelekta akta prasību ieviešanu" (24-TA-2633), tostarp tā 1. un 6. pielikumam. Piemēram, aicinām sniegt informāciju par informatīvā ziņojuma 1. pielikuma 9. punktā minētā uzdevuma izpildi, kā arī par 6. pielikumā minēto Regulas Nr. 2024/1689 prasību, par kurām atbildīgas tirgus uzraudzības iestādes, ieviešanu (sk., piemēram, 60. panta 6.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iespēju papildināt anotācijas 5.4. apakšsadaļas 1. tabulu, taču uzsveram sekojošo, proti, Regula Nr. 2024/1689 attiecas uz daudzām jomām un ļoti plašu subjektu loku, taču to, kas attiecas uz finanšu tirgu, finanšu tirgus dalībnieku uzraudzību MI jomā, Latvijas Banku šauri nosaka Regulas Nr. 2024/1689 74. panta 6. punkts (Latvijas Bankas kompetence ir uzraudzīt MI prasības </w:t>
            </w:r>
            <w:r w:rsidR="00000000" w:rsidRPr="00000000" w:rsidDel="00000000">
              <w:rPr>
                <w:u w:val="single"/>
                <w:rtl w:val="0"/>
              </w:rPr>
              <w:t xml:space="preserve">tikai</w:t>
            </w:r>
            <w:r w:rsidR="00000000" w:rsidRPr="00000000" w:rsidDel="00000000">
              <w:rPr>
                <w:rtl w:val="0"/>
              </w:rPr>
              <w:t xml:space="preserve"> tik tālu, cik tas skar finanšu pakalpojumu sniegšanu). Sadarbību starp iestādēm (piemēram, MI biroju, </w:t>
            </w:r>
            <w:r w:rsidR="00000000" w:rsidRPr="00000000" w:rsidDel="00000000">
              <w:rPr>
                <w:rtl w:val="0"/>
              </w:rPr>
              <w:t xml:space="preserve">pamattiesību aizsardzības iestādi (Tiesībsargs), tirgus uzraudzības iestādēm (finanšu tirgus uzraudzībā Latvijas Banka) nosaka minētā regula pati par sevi. Attiecībā uz sadarbību, piemēram, Regulas Nr. 2024/1689 95. panta 1. un 2. punkts paredz rīcības kodeksa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uzsveram, ka Informatīvā ziņojuma "Par Mākslīgā intelekta akta prasību ieviešanu" (24-TA-2633) 6. pielikums nemaz neparedz Regulas Nr. 2024/1689 74. panta 6. punkta ieviešanu, bet tas taču nenozīmē, ka minētais punkts nav jāievieš.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paredzēto Latvijas Bankas kompetenci un konkrētus veicamos uzdevumus, aicinām izvērstāk aizpildīt anotācijas 7. sadaļu, tostarp 7.4.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7.4. un 7.8.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24-TA-2371</w:t>
    </w:r>
    <w:r>
      <w:br/>
    </w:r>
    <w:r w:rsidR="00000000" w:rsidRPr="00000000" w:rsidDel="00000000">
      <w:rPr>
        <w:rtl w:val="0"/>
      </w:rPr>
      <w:t xml:space="preserve">19.03.2025. 16.38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24-TA-2371</w:t>
    </w:r>
    <w:r>
      <w:br/>
    </w:r>
    <w:r w:rsidR="00000000" w:rsidRPr="00000000" w:rsidDel="00000000">
      <w:rPr>
        <w:rtl w:val="0"/>
      </w:rPr>
      <w:t xml:space="preserve">19.03.2025. 16.38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Izziņa_24-TA-2371.docx</dc:title>
</cp:coreProperties>
</file>

<file path=docProps/custom.xml><?xml version="1.0" encoding="utf-8"?>
<Properties xmlns="http://schemas.openxmlformats.org/officeDocument/2006/custom-properties" xmlns:vt="http://schemas.openxmlformats.org/officeDocument/2006/docPropsVTypes"/>
</file>