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759F5E2" w14:textId="018C20F7" w:rsidR="00BC1F02" w:rsidRPr="00BC1F02" w:rsidRDefault="00BC1F02" w:rsidP="006E6936">
      <w:pPr>
        <w:spacing w:before="240" w:after="240"/>
        <w:ind w:firstLine="706"/>
        <w:jc w:val="center"/>
        <w:rPr>
          <w:b/>
          <w:bCs/>
        </w:rPr>
      </w:pPr>
      <w:r w:rsidRPr="00BC1F02">
        <w:rPr>
          <w:b/>
          <w:bCs/>
        </w:rPr>
        <w:t>Darba grupas</w:t>
      </w:r>
      <w:r w:rsidR="006E6936">
        <w:rPr>
          <w:b/>
          <w:bCs/>
        </w:rPr>
        <w:t xml:space="preserve">, kas </w:t>
      </w:r>
      <w:r w:rsidR="006E6936" w:rsidRPr="006E6936">
        <w:rPr>
          <w:b/>
          <w:bCs/>
        </w:rPr>
        <w:t>i</w:t>
      </w:r>
      <w:r w:rsidR="006E6936">
        <w:rPr>
          <w:b/>
          <w:bCs/>
        </w:rPr>
        <w:t>zveidota</w:t>
      </w:r>
      <w:r w:rsidR="006E6936" w:rsidRPr="006E6936">
        <w:rPr>
          <w:b/>
          <w:bCs/>
        </w:rPr>
        <w:t xml:space="preserve"> likumprojekt</w:t>
      </w:r>
      <w:r w:rsidR="006E6936">
        <w:rPr>
          <w:b/>
          <w:bCs/>
        </w:rPr>
        <w:t>a</w:t>
      </w:r>
      <w:r w:rsidR="006E6936" w:rsidRPr="006E6936">
        <w:rPr>
          <w:b/>
          <w:bCs/>
        </w:rPr>
        <w:t xml:space="preserve"> “Grozījumi Sauszemes transportlīdzekļu īpašnieku civiltiesiskās atbildības obligātās apdrošināšanas likumā” (Nr.285/lp14)</w:t>
      </w:r>
      <w:r w:rsidR="006E6936">
        <w:rPr>
          <w:b/>
          <w:bCs/>
        </w:rPr>
        <w:t xml:space="preserve"> izvērtēšanai,</w:t>
      </w:r>
      <w:r w:rsidRPr="00BC1F02">
        <w:rPr>
          <w:b/>
          <w:bCs/>
        </w:rPr>
        <w:t xml:space="preserve"> diskusiju rezultāti</w:t>
      </w:r>
    </w:p>
    <w:p w14:paraId="73737661" w14:textId="77777777" w:rsidR="00BC1F02" w:rsidRDefault="00BC1F02" w:rsidP="00BC1F02">
      <w:pPr>
        <w:spacing w:before="240" w:after="240"/>
      </w:pPr>
    </w:p>
    <w:p w14:paraId="057AEA80" w14:textId="77777777" w:rsidR="00293523" w:rsidRDefault="00000000">
      <w:pPr>
        <w:spacing w:before="240" w:after="240"/>
        <w:ind w:firstLine="706"/>
      </w:pPr>
      <w:r>
        <w:rPr>
          <w:b/>
        </w:rPr>
        <w:t>[1] Par bruņoto spēku dienesta transportlīdzekļa nodarītiem zaudējumiem</w:t>
      </w:r>
    </w:p>
    <w:p w14:paraId="5782F1FC" w14:textId="77777777" w:rsidR="00293523" w:rsidRDefault="00000000">
      <w:pPr>
        <w:spacing w:before="240" w:after="240"/>
      </w:pPr>
      <w:r>
        <w:t> </w:t>
      </w:r>
    </w:p>
    <w:p w14:paraId="558A474F" w14:textId="77777777" w:rsidR="00293523" w:rsidRDefault="00000000">
      <w:pPr>
        <w:spacing w:before="240" w:after="240"/>
        <w:ind w:firstLine="706"/>
      </w:pPr>
      <w:r>
        <w:t>Aizsardzības ministrija iesniedza priekšlikumu papildināt Sauszemes transportlīdzekļu īpašnieku civiltiesiskās atbildības obligātās apdrošināšanas likumu (turpmāk - OCTA likums) ar 41.</w:t>
      </w:r>
      <w:r>
        <w:rPr>
          <w:vertAlign w:val="superscript"/>
        </w:rPr>
        <w:t>3</w:t>
      </w:r>
      <w:r>
        <w:t> pantu šādā redakcijā:</w:t>
      </w:r>
    </w:p>
    <w:p w14:paraId="34DE77B8" w14:textId="77777777" w:rsidR="00293523" w:rsidRDefault="00000000">
      <w:pPr>
        <w:spacing w:before="240" w:after="240"/>
      </w:pPr>
      <w:r>
        <w:t> </w:t>
      </w:r>
    </w:p>
    <w:p w14:paraId="55A39566" w14:textId="77777777" w:rsidR="00293523" w:rsidRDefault="00000000">
      <w:pPr>
        <w:spacing w:before="240" w:after="240"/>
      </w:pPr>
      <w:r>
        <w:rPr>
          <w:b/>
        </w:rPr>
        <w:t>“41.</w:t>
      </w:r>
      <w:r>
        <w:rPr>
          <w:b/>
          <w:vertAlign w:val="superscript"/>
        </w:rPr>
        <w:t>3</w:t>
      </w:r>
      <w:r>
        <w:rPr>
          <w:b/>
        </w:rPr>
        <w:t> pants. Ārvalstu bruņoto spēku dienesta transportlīdzekļa, kas atrodas Latvijas Republikā, īstenojot sadarbību, ko paredz starptautisks līgums, nodarīto zaudējumu atlīdzināšana</w:t>
      </w:r>
    </w:p>
    <w:p w14:paraId="7FA755CC" w14:textId="77777777" w:rsidR="00293523" w:rsidRDefault="00000000">
      <w:pPr>
        <w:spacing w:before="240" w:after="240"/>
      </w:pPr>
      <w:r>
        <w:t>Ja ārvalstu bruņoto spēku īpašumā reģistrēts dienesta transportlīdzeklis, atrodas Latvijas Republikā, īstenojot sadarbību, ko paredz starptautisks līgums, ir nodarījis zaudējumus, kas radušies ceļu satiksmes negadījumā Latvijas Republikā, Transportlīdzekļu apdrošinātāju birojs un Aizsardzības ministrija rīkojas atbilstoši šā likuma 41.</w:t>
      </w:r>
      <w:r>
        <w:rPr>
          <w:vertAlign w:val="superscript"/>
        </w:rPr>
        <w:t>1</w:t>
      </w:r>
      <w:r>
        <w:t> panta pirmās un otrās daļas prasībām.”</w:t>
      </w:r>
    </w:p>
    <w:p w14:paraId="51937AF4" w14:textId="77777777" w:rsidR="00293523" w:rsidRDefault="00000000">
      <w:pPr>
        <w:spacing w:before="240" w:after="240"/>
      </w:pPr>
      <w:r>
        <w:t>           </w:t>
      </w:r>
    </w:p>
    <w:p w14:paraId="21E0C89F" w14:textId="77777777" w:rsidR="00293523" w:rsidRDefault="00000000">
      <w:pPr>
        <w:spacing w:before="240" w:after="240"/>
        <w:ind w:firstLine="706"/>
      </w:pPr>
      <w:r>
        <w:t>Darba grupā tika atbalstīts minētais priekšlikums, veicot atsevišķus precizējumus, proti, svītrojot vārdu “dienesta” un aiz vārda “transportlīdzeklis” papildinot ar vārdiem “neatkarīgi no tā, vai tas būvēts uz automobiļa bāzes”, lai ietvertu arī militāro speciālo tehniku. Tādējādi darba grupā tika panākta vienošanās papildināt OCTA likumu ar 41.</w:t>
      </w:r>
      <w:r>
        <w:rPr>
          <w:vertAlign w:val="superscript"/>
        </w:rPr>
        <w:t>3</w:t>
      </w:r>
      <w:r>
        <w:t> pantu šādā redakcijā:</w:t>
      </w:r>
    </w:p>
    <w:p w14:paraId="477D3768" w14:textId="77777777" w:rsidR="00293523" w:rsidRDefault="00000000">
      <w:pPr>
        <w:spacing w:before="240" w:after="240"/>
        <w:ind w:firstLine="706"/>
      </w:pPr>
      <w:r>
        <w:t> </w:t>
      </w:r>
    </w:p>
    <w:p w14:paraId="29C35ABD" w14:textId="77777777" w:rsidR="00293523" w:rsidRDefault="00000000">
      <w:pPr>
        <w:spacing w:before="240" w:after="240"/>
      </w:pPr>
      <w:r>
        <w:t>“</w:t>
      </w:r>
      <w:r>
        <w:rPr>
          <w:b/>
        </w:rPr>
        <w:t>41.</w:t>
      </w:r>
      <w:r>
        <w:rPr>
          <w:b/>
          <w:vertAlign w:val="superscript"/>
        </w:rPr>
        <w:t>3</w:t>
      </w:r>
      <w:r>
        <w:rPr>
          <w:b/>
        </w:rPr>
        <w:t> pants. Ārvalstu</w:t>
      </w:r>
      <w:r>
        <w:t xml:space="preserve"> </w:t>
      </w:r>
      <w:r>
        <w:rPr>
          <w:b/>
        </w:rPr>
        <w:t>bruņoto spēku transportlīdzekļa, kas atrodas Latvijas Republikā, īstenojot sadarbību, ko paredz starptautisks līgums, nodarīto zaudējumu atlīdzināšana</w:t>
      </w:r>
    </w:p>
    <w:p w14:paraId="467CC2DA" w14:textId="77777777" w:rsidR="00293523" w:rsidRDefault="00000000">
      <w:pPr>
        <w:spacing w:before="240" w:after="240"/>
      </w:pPr>
      <w:r>
        <w:t>Ja ārvalstu bruņoto spēku īpašumā reģistrēts transportlīdzeklis neatkarīgi no tā, vai tas būvēts uz automobiļa bāzes, atrodas Latvijas Republikā, īstenojot sadarbību, ko paredz starptautisks līgums, ir nodarījis zaudējumus, kas radušies ceļu satiksmes negadījumā Latvijas Republikā, Transportlīdzekļu apdrošinātāju birojs un Aizsardzības ministrija rīkojas atbilstoši šā likuma 41.</w:t>
      </w:r>
      <w:r>
        <w:rPr>
          <w:vertAlign w:val="superscript"/>
        </w:rPr>
        <w:t>1</w:t>
      </w:r>
      <w:r>
        <w:t> panta pirmās un otrās daļas prasībām.”</w:t>
      </w:r>
    </w:p>
    <w:p w14:paraId="3B4BF5E5" w14:textId="77777777" w:rsidR="00293523" w:rsidRDefault="00000000">
      <w:pPr>
        <w:spacing w:before="240" w:after="240"/>
      </w:pPr>
      <w:r>
        <w:t> </w:t>
      </w:r>
    </w:p>
    <w:p w14:paraId="6C251DB7" w14:textId="77777777" w:rsidR="00293523" w:rsidRDefault="00000000">
      <w:pPr>
        <w:spacing w:before="240" w:after="240"/>
      </w:pPr>
      <w:r>
        <w:lastRenderedPageBreak/>
        <w:t> </w:t>
      </w:r>
    </w:p>
    <w:p w14:paraId="66F1F947" w14:textId="77777777" w:rsidR="00293523" w:rsidRDefault="00000000">
      <w:pPr>
        <w:spacing w:before="240" w:after="240"/>
        <w:ind w:firstLine="706"/>
      </w:pPr>
      <w:r>
        <w:rPr>
          <w:b/>
        </w:rPr>
        <w:t xml:space="preserve">[2] Deputāta </w:t>
      </w:r>
      <w:proofErr w:type="spellStart"/>
      <w:r>
        <w:rPr>
          <w:b/>
        </w:rPr>
        <w:t>A.Kulberga</w:t>
      </w:r>
      <w:proofErr w:type="spellEnd"/>
      <w:r>
        <w:rPr>
          <w:b/>
        </w:rPr>
        <w:t xml:space="preserve"> priekšlikumi</w:t>
      </w:r>
    </w:p>
    <w:p w14:paraId="6BF5061C" w14:textId="77777777" w:rsidR="00293523" w:rsidRDefault="00000000">
      <w:pPr>
        <w:spacing w:before="240" w:after="240"/>
      </w:pPr>
      <w:r>
        <w:t> </w:t>
      </w:r>
    </w:p>
    <w:p w14:paraId="31F860E6" w14:textId="77777777" w:rsidR="00293523" w:rsidRDefault="00000000">
      <w:pPr>
        <w:spacing w:before="240" w:after="240"/>
        <w:ind w:firstLine="706"/>
      </w:pPr>
      <w:r>
        <w:rPr>
          <w:b/>
        </w:rPr>
        <w:t xml:space="preserve">[2.1] </w:t>
      </w:r>
      <w:r>
        <w:t xml:space="preserve">Deputāts </w:t>
      </w:r>
      <w:proofErr w:type="spellStart"/>
      <w:r>
        <w:t>A.Kulbergs</w:t>
      </w:r>
      <w:proofErr w:type="spellEnd"/>
      <w:r>
        <w:t xml:space="preserve"> iesniedza priekšlikumu izteikt OCTA likuma 38.</w:t>
      </w:r>
      <w:r>
        <w:rPr>
          <w:vertAlign w:val="superscript"/>
        </w:rPr>
        <w:t>1</w:t>
      </w:r>
      <w:r>
        <w:t> pantu šādā redakcijā:</w:t>
      </w:r>
    </w:p>
    <w:p w14:paraId="20AA33CB" w14:textId="77777777" w:rsidR="00293523" w:rsidRDefault="00000000">
      <w:pPr>
        <w:spacing w:before="240" w:after="240"/>
        <w:ind w:firstLine="706"/>
      </w:pPr>
      <w:r>
        <w:t> </w:t>
      </w:r>
    </w:p>
    <w:p w14:paraId="3C91BD3A" w14:textId="77777777" w:rsidR="00293523" w:rsidRDefault="00000000">
      <w:pPr>
        <w:spacing w:before="240" w:after="240"/>
      </w:pPr>
      <w:r>
        <w:t>“</w:t>
      </w:r>
      <w:r>
        <w:rPr>
          <w:b/>
        </w:rPr>
        <w:t>38.</w:t>
      </w:r>
      <w:r>
        <w:rPr>
          <w:b/>
          <w:vertAlign w:val="superscript"/>
        </w:rPr>
        <w:t>1</w:t>
      </w:r>
      <w:r>
        <w:rPr>
          <w:b/>
        </w:rPr>
        <w:t> pants. Tiešā zaudējumu regulēšana</w:t>
      </w:r>
    </w:p>
    <w:p w14:paraId="3E1522AD" w14:textId="77777777" w:rsidR="00293523" w:rsidRDefault="00000000">
      <w:pPr>
        <w:spacing w:before="240" w:after="240"/>
      </w:pPr>
      <w:r>
        <w:t>(1) Personai, kura pretendē saņemt apdrošināšanas atlīdzību par tās mantai nodarītajiem zaudējumiem, kurus nodarījis Latvijas Republikā reģistrēts transportlīdzeklis, ir tiesības iesniegt iesniegumu par apdrošināšanas atlīdzību apdrošinātājam, ar kuru noslēgts apdrošināšanas līgums, ievērojot šajā likumā minētos noilguma termiņus.</w:t>
      </w:r>
    </w:p>
    <w:p w14:paraId="4BE02110" w14:textId="77777777" w:rsidR="00293523" w:rsidRDefault="00000000">
      <w:pPr>
        <w:spacing w:before="240" w:after="240"/>
      </w:pPr>
      <w:r>
        <w:t>(2) Apdrošinātājam, ar kuru noslēgts apdrošināšanas līgums, ir tiesības atteikties atlīdzināt zaudējumus, ja:</w:t>
      </w:r>
    </w:p>
    <w:p w14:paraId="706130F6" w14:textId="77777777" w:rsidR="00293523" w:rsidRDefault="00000000">
      <w:pPr>
        <w:spacing w:before="240" w:after="240"/>
        <w:ind w:firstLine="706"/>
      </w:pPr>
      <w:r>
        <w:t>1) nav iespējams izvērtēt un noteikt katras ceļu satiksmes negadījumā iesaistītās personas atbildību par nodarītajiem zaudējumiem;</w:t>
      </w:r>
    </w:p>
    <w:p w14:paraId="5BA03883" w14:textId="77777777" w:rsidR="00293523" w:rsidRDefault="00000000">
      <w:pPr>
        <w:spacing w:before="240" w:after="240"/>
        <w:ind w:firstLine="706"/>
      </w:pPr>
      <w:r>
        <w:t xml:space="preserve">2) kopējā apdrošināšanas atlīdzības summa pārsniedz 10 000 </w:t>
      </w:r>
      <w:proofErr w:type="spellStart"/>
      <w:r>
        <w:t>euro</w:t>
      </w:r>
      <w:proofErr w:type="spellEnd"/>
      <w:r>
        <w:t>.</w:t>
      </w:r>
    </w:p>
    <w:p w14:paraId="2CA4F034" w14:textId="77777777" w:rsidR="00293523" w:rsidRDefault="00000000">
      <w:pPr>
        <w:spacing w:before="240" w:after="240"/>
      </w:pPr>
      <w:r>
        <w:t>(3) Ja ir konstatējams kāds no šā panta otrajā daļā minētajiem nosacījumiem, apdrošinātājs, ar kuru noslēgts apdrošināšanas līgums, nekavējoties, bet ne vēlāk kā 14 dienu laikā pēc iesnieguma par apdrošināšanas atlīdzību saņemšanas, informē iesnieguma iesniedzēju, kurš šādā gadījumā zaudējumu atlīdzināšanu pieprasa no apdrošinātāja, kas apdrošinājis zaudējumu nodarījušā transportlīdzekļa īpašnieka civiltiesisko atbildību, vai Transportlīdzekļu apdrošinātāju biroja.”</w:t>
      </w:r>
    </w:p>
    <w:p w14:paraId="4E9FC2F9" w14:textId="77777777" w:rsidR="00293523" w:rsidRDefault="00000000">
      <w:pPr>
        <w:spacing w:before="240" w:after="240"/>
      </w:pPr>
      <w:r>
        <w:t> </w:t>
      </w:r>
    </w:p>
    <w:p w14:paraId="62079A41" w14:textId="77777777" w:rsidR="00293523" w:rsidRDefault="00000000">
      <w:pPr>
        <w:spacing w:before="240" w:after="240"/>
        <w:ind w:firstLine="706"/>
      </w:pPr>
      <w:r>
        <w:t xml:space="preserve">Pamatojot priekšlikumu deputāts </w:t>
      </w:r>
      <w:proofErr w:type="spellStart"/>
      <w:r>
        <w:t>A.Kulbergs</w:t>
      </w:r>
      <w:proofErr w:type="spellEnd"/>
      <w:r>
        <w:t xml:space="preserve"> norādīja, ka spēkā esošais likuma regulējums paredz, ka apdrošinātājiem ir tiesības vienoties par tiešo zaudējumu regulēšanu, taču virkne apdrošinātāju nav noslēguši šādas vienošanās. OCTA gadījumā cietušā satiksmes dalībnieka zaudējumus atlīdzina vainīgās puses OCTA apdrošinātājs vai arī garantijas fonds, ja vainīgā puse nav apdrošināta vai kādu citu iemeslu dēļ. Šāda kārtība ir radījusi situāciju, kad OCTA apdrošināšanas polises iegādes izvēli nenosaka segums, izmaksas operativitāte vai citi kritēriji, bet gan zemākā cena. Faktiski polise tiek iegādāta nedomājot par zaudējumu atlīdzības kvalitāti. Tā rezultātā negadījumā cietusī puse ir spiesta veidot attiecības ar sev nepazīstamu apdrošinātāju, bez klienta attiecību vēstures, bez iespējām gūt priekšrocības no iespējamām klientu lojalitātes programmām un pieņemt atlīdzības izmaksas kārtību, ko tai ir “nopirkusi” vainīgā puse. Tādēļ ir grozāms likuma 38.</w:t>
      </w:r>
      <w:r>
        <w:rPr>
          <w:vertAlign w:val="superscript"/>
        </w:rPr>
        <w:t>1 </w:t>
      </w:r>
      <w:r>
        <w:t xml:space="preserve">pants, paredzot pārņemt Igaunijas pieredzi, t.i., kad </w:t>
      </w:r>
      <w:r>
        <w:lastRenderedPageBreak/>
        <w:t>cietušajam ir tiesības izvēlēties, kam iesniegt pieteikumu – vainīgā apdrošinātājam vai savam apdrošinātājam, ar kuru noslēgts līgums.</w:t>
      </w:r>
    </w:p>
    <w:p w14:paraId="58B59A9C" w14:textId="0E88BFB9" w:rsidR="00293523" w:rsidRDefault="00FC5D80">
      <w:pPr>
        <w:spacing w:before="240" w:after="240"/>
        <w:ind w:firstLine="706"/>
      </w:pPr>
      <w:r>
        <w:t xml:space="preserve"> Finanšu ministrija </w:t>
      </w:r>
      <w:r>
        <w:t>atbalsta</w:t>
      </w:r>
      <w:r w:rsidR="00000000">
        <w:t xml:space="preserve"> šo deputāta </w:t>
      </w:r>
      <w:proofErr w:type="spellStart"/>
      <w:r w:rsidR="00000000">
        <w:t>A.Kulberga</w:t>
      </w:r>
      <w:proofErr w:type="spellEnd"/>
      <w:r w:rsidR="00000000">
        <w:t xml:space="preserve"> priekšlikumu un arī saskata iespēju tādējādi uzlabot cietošo personu apkalpošanas kvalitāti, piemēram, piesaistot profesionālus transportlīdzekļa remonta pakalpojumu sniedzējus vai citu nepieciešamo pakalpojumu sniedzējus, ar kuru palīdzību tiek nodrošināta  apdrošināšanas atlīdzības izmaksa.</w:t>
      </w:r>
    </w:p>
    <w:p w14:paraId="49F93B32" w14:textId="77777777" w:rsidR="00293523" w:rsidRDefault="00000000">
      <w:pPr>
        <w:spacing w:before="240" w:after="240"/>
        <w:ind w:firstLine="706"/>
      </w:pPr>
      <w:r>
        <w:t xml:space="preserve">Darba grupā tika panākta vienošanās, ka šāds priekšlikums pēc būtības ir atbalstāms, bet deputāta </w:t>
      </w:r>
      <w:proofErr w:type="spellStart"/>
      <w:r>
        <w:t>A.Kulberga</w:t>
      </w:r>
      <w:proofErr w:type="spellEnd"/>
      <w:r>
        <w:t xml:space="preserve"> iesniegtā priekšlikuma redakciju būtu nepieciešams precizēt uz likumprojekta 3. lasījumu. </w:t>
      </w:r>
    </w:p>
    <w:p w14:paraId="7960D5E9" w14:textId="60B286F1" w:rsidR="00293523" w:rsidRDefault="00000000">
      <w:pPr>
        <w:spacing w:before="240" w:after="240"/>
        <w:ind w:firstLine="706"/>
      </w:pPr>
      <w:r>
        <w:t xml:space="preserve">Vienlaikus attiecībā uz priekšlikuma redakciju </w:t>
      </w:r>
      <w:r w:rsidR="00BA3737">
        <w:t>Tieslietu ministrija</w:t>
      </w:r>
      <w:r>
        <w:t> vērš uzmanību, ka panta otrās daļas pirmajā punktā iekļautais nosacījums zaudējumu atlīdzības neizmaksāšanai rada neskaidrību. Proti, punkts paredz, ka apdrošinātājam, ar kuru noslēgts apdrošināšanas līgums, ir tiesības atteikties atlīdzināt zaudējumus, ja nav iespējams izvērtēt un noteikt katras ceļu satiksmes negadījumā iesaistītās personas atbildību par nodarītajiem zaudējumiem. Vienlaikus pants paredz iespēju cietušajam (personai, kurai nodarīti zaudējumi un kura nav vainojama ceļu satiksmes negadījuma izdarīšanā) vērsties pie sava apdrošinātāja, ne pie vainīgās personas apdrošinātāja, apdrošināšanas atlīdzības saņemšanai par tai nodarītajiem zaudējumiem. Līdz ar ko no panta jau izriet, ka uz atlīdzību var pretendēt tā persona, kas nav vainojama (nav atbildīga) par nodarītajiem zaudējumiem, tādējādi nav saprotams, kāpēc tās iespējām atvieglotā kārtā saņemt apdrošinātas atlīdzību jābūt saistītām ar apdrošinātāja spējām izvērtēt un noteikt katras ceļu satiksmes negadījumā iesaistītās personas atbildību par nodarītajiem zaudējumiem, turklāt minēto ir iespējams izvērtēt arī pēc atlīdzības izmaksas. Tāpat priekšlikums būtu papildināms ar skaidrojumu par to, kāpēc noteikts 10 000 </w:t>
      </w:r>
      <w:r>
        <w:rPr>
          <w:i/>
        </w:rPr>
        <w:t>eiro</w:t>
      </w:r>
      <w:r>
        <w:t xml:space="preserve"> slieksnis atlīdzības saņemšanai. Kā arī būtu nepieciešams papildināt priekšlikumu ar informāciju par to, vai personai atlīdzību pantā minētajā kārtībā izsniedz līdz 10 000 </w:t>
      </w:r>
      <w:r>
        <w:rPr>
          <w:i/>
        </w:rPr>
        <w:t>eiro</w:t>
      </w:r>
      <w:r>
        <w:t xml:space="preserve"> apmēram un atsaka daļā, kas pārsniedz minēto slieksni, vai ar normu saprotams, ka visus zaudējumu atlīdzības pieprasījumus, kas pārsniedz 10 000 </w:t>
      </w:r>
      <w:r>
        <w:rPr>
          <w:i/>
        </w:rPr>
        <w:t>eiro</w:t>
      </w:r>
      <w:r>
        <w:t>, ir jānoraida.</w:t>
      </w:r>
    </w:p>
    <w:p w14:paraId="12FB494D" w14:textId="77777777" w:rsidR="00293523" w:rsidRDefault="00000000">
      <w:pPr>
        <w:spacing w:before="240" w:after="240"/>
        <w:ind w:firstLine="706"/>
      </w:pPr>
      <w:r>
        <w:t> </w:t>
      </w:r>
    </w:p>
    <w:p w14:paraId="4D37D9FA" w14:textId="77777777" w:rsidR="00293523" w:rsidRDefault="00000000">
      <w:pPr>
        <w:spacing w:before="240" w:after="240"/>
        <w:ind w:firstLine="706"/>
      </w:pPr>
      <w:r>
        <w:rPr>
          <w:b/>
        </w:rPr>
        <w:t xml:space="preserve">[2.2] </w:t>
      </w:r>
      <w:r>
        <w:t xml:space="preserve">Deputāts </w:t>
      </w:r>
      <w:proofErr w:type="spellStart"/>
      <w:r>
        <w:t>A.Kulbergs</w:t>
      </w:r>
      <w:proofErr w:type="spellEnd"/>
      <w:r>
        <w:t xml:space="preserve"> iesniedza priekšlikumu papildināt OCTA likuma 10. panta pirmo daļu ar 12. punktu šādā redakcijā:</w:t>
      </w:r>
    </w:p>
    <w:p w14:paraId="72B21ED7" w14:textId="77777777" w:rsidR="00293523" w:rsidRDefault="00000000">
      <w:pPr>
        <w:spacing w:before="240" w:after="240"/>
      </w:pPr>
      <w:r>
        <w:t> </w:t>
      </w:r>
    </w:p>
    <w:p w14:paraId="365601D6" w14:textId="77777777" w:rsidR="00293523" w:rsidRDefault="00000000">
      <w:pPr>
        <w:spacing w:before="240" w:after="240"/>
      </w:pPr>
      <w:r>
        <w:t>“12) transportlīdzeklis noņemts no uzskaites Latvijas Republikā.”</w:t>
      </w:r>
    </w:p>
    <w:p w14:paraId="1C913F98" w14:textId="77777777" w:rsidR="00293523" w:rsidRDefault="00000000">
      <w:pPr>
        <w:spacing w:before="240" w:after="240"/>
      </w:pPr>
      <w:r>
        <w:t> </w:t>
      </w:r>
    </w:p>
    <w:p w14:paraId="0B415D53" w14:textId="77777777" w:rsidR="00293523" w:rsidRDefault="00000000">
      <w:pPr>
        <w:spacing w:before="240" w:after="240"/>
        <w:ind w:firstLine="706"/>
      </w:pPr>
      <w:r>
        <w:t xml:space="preserve">Priekšlikuma pamatojumā norādīts, ka šobrīd regulējums paredz, ka transportlīdzekļa pārdošanas gadījumos apdrošināšanas līgums izbeidzas pirms </w:t>
      </w:r>
      <w:r>
        <w:lastRenderedPageBreak/>
        <w:t>termiņa, ja transportlīdzeklim mainās īpašnieks vai transportlīdzeklis normatīvajos aktos noteiktajā kārtībā nodots tirdzniecības uzņēmumam (komersantam) tirdzniecībai un par to izdarīta atzīme Ceļu satiksmes drošības direkcijas vai Valsts tehniskās uzraudzības aģentūras reģistrā. Savukārt, ja transportlīdzeklis tiek noņemts no uzskaites pārdošanai un netiek nodots tirdzniecības uzņēmumam (komersantam) tirdzniecībai, bet transportlīdzekļa īpašnieks pats vēlas pārdot transportlīdzekli, tas nevar iesniegt apdrošinātājam pieteikumu par neizmantotās apdrošināšanas prēmijas atmaksu.</w:t>
      </w:r>
    </w:p>
    <w:p w14:paraId="65A5E7FB" w14:textId="18772DEE" w:rsidR="00293523" w:rsidRDefault="003D2ADF">
      <w:pPr>
        <w:spacing w:before="240" w:after="240"/>
        <w:ind w:firstLine="706"/>
      </w:pPr>
      <w:r>
        <w:t>Finanšu ministrija</w:t>
      </w:r>
      <w:r w:rsidR="00000000">
        <w:t xml:space="preserve"> vērš uzmanību, ka Eiropas Parlamenta un Padomes 2021.gada 24.novembra direktīvas (ES) 2021/2118, ar ko groza direktīvu 2009/103/EK par civiltiesiskās atbildības apdrošināšanu saistībā ar mehānisko transportlīdzekļu izmantošanu un kontroli saistībā ar pienākumu apdrošināt šādu atbildību, 5. apsvērumā skaidrots, ka Eiropas Savienības Tiesas  jaunākajos lēmumos, proti, lēmumos lietās </w:t>
      </w:r>
      <w:proofErr w:type="spellStart"/>
      <w:r w:rsidR="00000000">
        <w:t>Vnuk</w:t>
      </w:r>
      <w:proofErr w:type="spellEnd"/>
      <w:r w:rsidR="00000000">
        <w:t xml:space="preserve">, </w:t>
      </w:r>
      <w:proofErr w:type="spellStart"/>
      <w:r w:rsidR="00000000">
        <w:t>Rodrigues</w:t>
      </w:r>
      <w:proofErr w:type="spellEnd"/>
      <w:r w:rsidR="00000000">
        <w:t xml:space="preserve"> </w:t>
      </w:r>
      <w:proofErr w:type="spellStart"/>
      <w:r w:rsidR="00000000">
        <w:t>de</w:t>
      </w:r>
      <w:proofErr w:type="spellEnd"/>
      <w:r w:rsidR="00000000">
        <w:t xml:space="preserve"> </w:t>
      </w:r>
      <w:proofErr w:type="spellStart"/>
      <w:r w:rsidR="00000000">
        <w:t>Andrade</w:t>
      </w:r>
      <w:proofErr w:type="spellEnd"/>
      <w:r w:rsidR="00000000">
        <w:t xml:space="preserve"> un </w:t>
      </w:r>
      <w:proofErr w:type="spellStart"/>
      <w:r w:rsidR="00000000">
        <w:t>Torreiro</w:t>
      </w:r>
      <w:proofErr w:type="spellEnd"/>
      <w:r w:rsidR="00000000">
        <w:t>, Tiesa ir precizējusi koncepta “transportlīdzekļu izmantošana” nozīmi. Jo īpaši Eiropas Savienības Tiesa ir precizējusi, ka mehāniskie transportlīdzekļi parasti ir paredzēti izmantošanai transportam neatkarīgi no šādu transportlīdzekļu raksturlielumiem un ka šādu transportlīdzekļu izmantošana attiecas uz jebkādu transportlīdzekļa izmantošanu, kas atbilst tā parastai funkcijai – kalpot par transporta līdzekli, – neatkarīgi no apvidus, kurā attiecīgais mehāniskais transportlīdzeklis tiek izmantots, un neatkarīgi no tā, vai transportlīdzeklis ir nekustīgs vai atrodas kustībā.</w:t>
      </w:r>
    </w:p>
    <w:p w14:paraId="28C1762E" w14:textId="72F75EE7" w:rsidR="00293523" w:rsidRDefault="00737554">
      <w:pPr>
        <w:spacing w:before="240" w:after="240"/>
        <w:ind w:firstLine="706"/>
      </w:pPr>
      <w:r>
        <w:t xml:space="preserve">Finanšu ministrija </w:t>
      </w:r>
      <w:r w:rsidR="00000000">
        <w:t>norāda, ka gadījumā, kad transportlīdzekļa īpašnieks pats vēlas veikt darbības, lai pārdotu transportlīdzekli, šis transportlīdzeklis joprojām atrodas viņa valdījumā un līdz ar to tieši viņš turpina būt atbildīgs par OCTA līguma noslēgšanu. Papildus ir jāņem vērā, ka katra jauna OCTA līguma noslēgšana ir saistīta ar administratīvajām izmaksām, kas tiek ietvertas apdrošināšanas prēmijas maksājumā.</w:t>
      </w:r>
    </w:p>
    <w:p w14:paraId="6D84CB72" w14:textId="77777777" w:rsidR="000D0AA0" w:rsidRDefault="00000000">
      <w:pPr>
        <w:spacing w:before="240" w:after="240"/>
        <w:ind w:firstLine="706"/>
      </w:pPr>
      <w:r>
        <w:t xml:space="preserve">Darba grupā tika panākta vienošanās vēl precizēt deputāta </w:t>
      </w:r>
      <w:proofErr w:type="spellStart"/>
      <w:r>
        <w:t>A.Kulberga</w:t>
      </w:r>
      <w:proofErr w:type="spellEnd"/>
      <w:r>
        <w:t xml:space="preserve"> iesniegtā priekšlikuma redakciju uz likumprojekta 3. lasījumu. </w:t>
      </w:r>
    </w:p>
    <w:p w14:paraId="20DF8F11" w14:textId="3B169CA9" w:rsidR="00293523" w:rsidRDefault="00000000">
      <w:pPr>
        <w:spacing w:before="240" w:after="240"/>
        <w:ind w:firstLine="706"/>
      </w:pPr>
      <w:r>
        <w:t xml:space="preserve">Vienlaikus attiecībā uz priekšlikuma redakciju </w:t>
      </w:r>
      <w:r w:rsidR="000D0AA0">
        <w:t xml:space="preserve">Tieslietu ministrija </w:t>
      </w:r>
      <w:r>
        <w:t>norād</w:t>
      </w:r>
      <w:r w:rsidR="000D0AA0">
        <w:t>a</w:t>
      </w:r>
      <w:r>
        <w:t>, ka transportlīdzeklis pēc tā noņemšanas no uzskaites vēl zināmu laiku drīkst piedalīties ceļu satiksmē. Precizējot normu, minētais būtu jāņem vērā, lai nepieļautu situāciju, ka OCTA līgums ir zaudējis spēku, bet transportlīdzeklis vēl drīkst piedalīties ceļu satiksmē.</w:t>
      </w:r>
    </w:p>
    <w:p w14:paraId="3B80362C" w14:textId="77777777" w:rsidR="00293523" w:rsidRDefault="00000000">
      <w:pPr>
        <w:spacing w:before="240" w:after="240"/>
        <w:ind w:firstLine="706"/>
      </w:pPr>
      <w:r>
        <w:t> </w:t>
      </w:r>
    </w:p>
    <w:p w14:paraId="40AB1C43" w14:textId="77777777" w:rsidR="00293523" w:rsidRDefault="00000000">
      <w:pPr>
        <w:spacing w:before="240" w:after="240"/>
        <w:ind w:firstLine="706"/>
      </w:pPr>
      <w:r>
        <w:rPr>
          <w:b/>
        </w:rPr>
        <w:t xml:space="preserve">[2.3] </w:t>
      </w:r>
      <w:r>
        <w:t xml:space="preserve">Deputāts </w:t>
      </w:r>
      <w:proofErr w:type="spellStart"/>
      <w:r>
        <w:t>A.Kulbergs</w:t>
      </w:r>
      <w:proofErr w:type="spellEnd"/>
      <w:r>
        <w:t xml:space="preserve"> ir iesniedzis priekšlikumu izslēgt OCTA likuma 35. panta 2. punktu,  kā arī izteikt OCTA likuma 51. panta pirmās daļas 2. punktu šādā redakcijā:</w:t>
      </w:r>
    </w:p>
    <w:p w14:paraId="7F680DDA" w14:textId="77777777" w:rsidR="00293523" w:rsidRDefault="00000000">
      <w:pPr>
        <w:spacing w:before="240" w:after="240"/>
        <w:ind w:firstLine="706"/>
      </w:pPr>
      <w:r>
        <w:t> </w:t>
      </w:r>
    </w:p>
    <w:p w14:paraId="55E86A64" w14:textId="77777777" w:rsidR="00293523" w:rsidRDefault="00000000">
      <w:pPr>
        <w:spacing w:before="240" w:after="240"/>
      </w:pPr>
      <w:r>
        <w:t>“2) nenoskaidrots transportlīdzeklis;”.</w:t>
      </w:r>
    </w:p>
    <w:p w14:paraId="50466474" w14:textId="77777777" w:rsidR="00293523" w:rsidRDefault="00000000">
      <w:pPr>
        <w:spacing w:before="240" w:after="240"/>
      </w:pPr>
      <w:r>
        <w:lastRenderedPageBreak/>
        <w:t> </w:t>
      </w:r>
    </w:p>
    <w:p w14:paraId="3788A616" w14:textId="77777777" w:rsidR="00293523" w:rsidRDefault="00000000">
      <w:pPr>
        <w:spacing w:before="240" w:after="240"/>
        <w:ind w:firstLine="706"/>
      </w:pPr>
      <w:r>
        <w:t>Tādējādi paredzot, ka personām, kuras cietušas ceļu satiksmes negadījumā, kurā vainojams nenoskaidrots transportlīdzeklis, ir tiesības saņemt zaudējumu atlīdzību no LTAB Garantijas fonda, pat tad, ja nodarītais kaitējums ir tikai mantisks un personas veselība nav cietusi.</w:t>
      </w:r>
    </w:p>
    <w:p w14:paraId="10585BB5" w14:textId="100C9211" w:rsidR="00293523" w:rsidRDefault="00737554">
      <w:pPr>
        <w:spacing w:before="240" w:after="240"/>
        <w:ind w:firstLine="706"/>
      </w:pPr>
      <w:r>
        <w:t xml:space="preserve">Finanšu ministrija </w:t>
      </w:r>
      <w:r w:rsidR="00000000">
        <w:t>vērš uzmanību, ka Eiropas Parlamenta un Padomes 2009.gada 16.septembra direktīvas 2009/103/EK par civiltiesiskās atbildības apdrošināšanu saistībā ar mehānisko transportlīdzekļu izmantošanu un kontroli saistībā ar pienākumu apdrošināt šādu atbildību (turpmāk - Direktīva 2009/103/EK)  14. apsvērumā skaidrots, ka ir jāparedz, lai iestāde garantē, ka cietušais nepaliks bez kompensācijas, ja transportlīdzeklis, kas izraisījis negadījumu, nav apdrošināts vai identificēts. Ir svarīgi nodrošināt, ka negadījumā cietušais varētu vispirms tieši vērsties minētajā iestādē. Dalībvalstīm tomēr būtu jādod iespēja piemērot dažus ierobežotus izņēmumus minētās iestādes kompensāciju izmaksāšanā un noteikt, ka kompensācijas par neidentificēta transportlīdzekļa radīto kaitējumu īpašumam var ierobežot vai neizmaksāt, ņemot vērā krāpšanas iespējamību.</w:t>
      </w:r>
    </w:p>
    <w:p w14:paraId="28C2EDB2" w14:textId="77777777" w:rsidR="00293523" w:rsidRDefault="00000000">
      <w:pPr>
        <w:spacing w:before="240" w:after="240"/>
        <w:ind w:firstLine="706"/>
      </w:pPr>
      <w:r>
        <w:t>Saskaņā ar Direktīvas 2009/103/EK 10. panta 3. punktu dalībvalstis var ierobežot minētās iestādes maksātu kompensāciju vai noteikt, ka tai nav jāmaksā kompensācija, ja īpašumam kaitējis neidentificēts transportlīdzeklis. Tomēr, ja iestāde ir izmaksājusi kompensāciju par nozīmīgiem miesas bojājumiem ikvienai personai, kas cietusi tajā pašā negadījumā, kurā kaitējumu īpašumam ir nodarījis neidentificēts transportlīdzeklis, dalībvalstis nevar liegt izmaksāt kompensāciju par kaitējumu īpašumam, pamatojoties uz to, ka transportlīdzeklis ir neidentificēts. Taču dalībvalstis var paredzēt nekompensējamu daļu, kas nepārsniedz 500 EUR un par kuru ir atbildīga cietusī persona, kuras īpašumam ir nodarīts šāds kaitējums.</w:t>
      </w:r>
    </w:p>
    <w:p w14:paraId="59258F51" w14:textId="77777777" w:rsidR="00293523" w:rsidRDefault="00000000">
      <w:pPr>
        <w:spacing w:before="240" w:after="240"/>
        <w:ind w:firstLine="706"/>
      </w:pPr>
      <w:r>
        <w:t xml:space="preserve">Darba grupā tika panākta vienošanās vēl precizēt deputāta </w:t>
      </w:r>
      <w:proofErr w:type="spellStart"/>
      <w:r>
        <w:t>A.Kulberga</w:t>
      </w:r>
      <w:proofErr w:type="spellEnd"/>
      <w:r>
        <w:t xml:space="preserve"> iesniegtā priekšlikuma redakciju uz likumprojekta 3. lasījumu.</w:t>
      </w:r>
    </w:p>
    <w:p w14:paraId="10F80579" w14:textId="77777777" w:rsidR="00293523" w:rsidRDefault="00000000">
      <w:pPr>
        <w:spacing w:before="240" w:after="240"/>
        <w:ind w:firstLine="706"/>
      </w:pPr>
      <w:r>
        <w:t> </w:t>
      </w:r>
    </w:p>
    <w:p w14:paraId="15F6ADC7" w14:textId="77777777" w:rsidR="00293523" w:rsidRDefault="00000000">
      <w:pPr>
        <w:spacing w:before="240" w:after="240"/>
        <w:ind w:firstLine="706"/>
      </w:pPr>
      <w:r>
        <w:rPr>
          <w:b/>
        </w:rPr>
        <w:t>[3] Par prēmiju lielumu noteikšanu</w:t>
      </w:r>
    </w:p>
    <w:p w14:paraId="33757553" w14:textId="77777777" w:rsidR="00293523" w:rsidRDefault="00000000">
      <w:pPr>
        <w:spacing w:before="240" w:after="240"/>
      </w:pPr>
      <w:r>
        <w:t> </w:t>
      </w:r>
    </w:p>
    <w:p w14:paraId="3C22B650" w14:textId="77777777" w:rsidR="00293523" w:rsidRDefault="00000000">
      <w:pPr>
        <w:spacing w:before="240" w:after="240"/>
        <w:ind w:firstLine="706"/>
      </w:pPr>
      <w:r>
        <w:t xml:space="preserve">Deputāts </w:t>
      </w:r>
      <w:proofErr w:type="spellStart"/>
      <w:r>
        <w:t>Ģ.Štekerhofs</w:t>
      </w:r>
      <w:proofErr w:type="spellEnd"/>
      <w:r>
        <w:t xml:space="preserve"> un Latvijas Apdrošināšanas brokeru asociācija ir iesnieguši priekšlikumu papildināt OCTA likuma 13. pantu ar jaunu trešo daļu šādā redakcijā:</w:t>
      </w:r>
    </w:p>
    <w:p w14:paraId="1AB8E7A4" w14:textId="77777777" w:rsidR="00293523" w:rsidRDefault="00000000">
      <w:pPr>
        <w:spacing w:before="240" w:after="240"/>
        <w:ind w:firstLine="706"/>
      </w:pPr>
      <w:r>
        <w:t> </w:t>
      </w:r>
    </w:p>
    <w:p w14:paraId="429B4A7B" w14:textId="77777777" w:rsidR="00293523" w:rsidRDefault="00000000">
      <w:pPr>
        <w:spacing w:before="240" w:after="240"/>
      </w:pPr>
      <w:r>
        <w:t xml:space="preserve">“(3) Apdrošinātājam jānodrošina, ka apdrošinātāja noteiktais apdrošināšanas prēmijas apmērs transportlīdzekļa īpašniekam, ņemot vērā arī visas apdrošinātāja piemērotās apdrošināšanas prēmijas atlaides vai citus apdrošināšanas prēmijas apmēra </w:t>
      </w:r>
      <w:r>
        <w:lastRenderedPageBreak/>
        <w:t>pazeminājumus, transportlīdzekļa īpašniekam tiek noteikts un ir pieejams pilnīgi vienādā apmērā pie jebkura apdrošināšanas izplatītāja.”</w:t>
      </w:r>
    </w:p>
    <w:p w14:paraId="5A852A99" w14:textId="77777777" w:rsidR="00293523" w:rsidRDefault="00000000">
      <w:pPr>
        <w:spacing w:before="240" w:after="240"/>
      </w:pPr>
      <w:r>
        <w:t> </w:t>
      </w:r>
    </w:p>
    <w:p w14:paraId="41C00839" w14:textId="63CB23C5" w:rsidR="00293523" w:rsidRDefault="00000000">
      <w:pPr>
        <w:spacing w:before="240" w:after="240"/>
        <w:ind w:firstLine="706"/>
      </w:pPr>
      <w:r>
        <w:t xml:space="preserve">Darba grupā jautājumā par prēmiju lielumu noteikšanu notika diskusijas, tomēr </w:t>
      </w:r>
      <w:r w:rsidR="00737554">
        <w:t xml:space="preserve">Finanšu ministrija </w:t>
      </w:r>
      <w:r>
        <w:t xml:space="preserve">nevar atbalstīt minēto priekšlikumu. Vēršam uzmanību, ka saskaņā ar Eiropas Parlamenta un Padomes 2009. gada 25. novembra direktīvas 2009/138/EK par uzņēmējdarbības uzsākšanu un veikšanu apdrošināšanas un pārapdrošināšanas jomā (Maksātspēja II) 21. un 181. pantu dalībvalstīm nav atļauts noteikt, ka iepriekš ir jāapstiprina vai sistemātiski jāpaziņo prēmiju likmes, kuras apdrošināšanas sabiedrība nosaka apdrošinājuma ņēmējiem. Līdz ar to apdrošināšanas sabiedrība ir tiesīga brīvi noteikt apdrošināšanas prēmiju apmērus </w:t>
      </w:r>
      <w:proofErr w:type="spellStart"/>
      <w:r>
        <w:t>nedzīvības</w:t>
      </w:r>
      <w:proofErr w:type="spellEnd"/>
      <w:r>
        <w:t xml:space="preserve"> apdrošināšanas jomā, tai skaitā, OCTA jomā. Atbilstoši Apdrošināšanas un pārapdrošināšanas likuma 7. pantam apdrošināšanas sabiedrība izstrādā un apstiprina apdrošinātā riska parakstīšanas un apdrošināšanas prēmijas noteikšanas politiku un procedūru un ir atbildīga par šīs kārtības ievērošanu. Apdrošināšanas prēmiju nosaka tādā apmērā, lai izpildītu apdrošināšanas līgumā paredzētās saistības un segtu apdrošināšanas veikšanai nepieciešamos izdevumus.</w:t>
      </w:r>
    </w:p>
    <w:p w14:paraId="7F0847F9" w14:textId="4541D17A" w:rsidR="00293523" w:rsidRDefault="00000000">
      <w:pPr>
        <w:spacing w:before="240" w:after="240"/>
        <w:ind w:firstLine="706"/>
      </w:pPr>
      <w:r>
        <w:t xml:space="preserve">Turklāt </w:t>
      </w:r>
      <w:r w:rsidR="00737554">
        <w:t xml:space="preserve">Finanšu ministrija </w:t>
      </w:r>
      <w:r>
        <w:t xml:space="preserve">uzskata, ka nav tiesiska pamata liegt apdrošināšanas sabiedrībai veicināt savu pakalpojumu pārdošanu, nosakot, piemēram, dažādas atlaides apdrošināšanas prēmijām, lai izveidotu un piedāvātu klientam izdevīgākus apdrošināšanas pakalpojumus vai šo pakalpojumu komplektus. Papildus šajā jautājumā </w:t>
      </w:r>
      <w:r w:rsidR="00737554">
        <w:t xml:space="preserve">Finanšu ministrija </w:t>
      </w:r>
      <w:r>
        <w:t>aicina skatīt arī Konkurences padomes (turpmāk - KP) 2024. gada 9. jūlija vēstulē Nr. 1.7-1/702  sniegto viedokli, kas pievienots pielikumā.</w:t>
      </w:r>
    </w:p>
    <w:p w14:paraId="7BBE106B" w14:textId="77777777" w:rsidR="00293523" w:rsidRDefault="00000000">
      <w:pPr>
        <w:spacing w:before="240" w:after="240"/>
        <w:ind w:firstLine="706"/>
      </w:pPr>
      <w:r>
        <w:t>KP darba grupā vērsa uzmanību uz svarīgākajiem aspektiem šajā jautājumā:</w:t>
      </w:r>
      <w:r>
        <w:tab/>
      </w:r>
      <w:r>
        <w:br/>
        <w:t>1) KP 2021. gadā publicētajā ziņojumā “Kopsavilkums par izpēti par apdrošināšanas sabiedrību sadarbību ar apdrošināšanas starpniekiem, veicot OCTA polišu izplatīšanu” (turpmāk – Ziņojums), norādījusi uz problemātiku, ka apdrošinātāja paša izplatīšanas kanālos tiek piedāvātas zemākas OCTA polišu cenas, nekā citu apdrošināšanas starpnieku (brokeru) izplatīšanas kanālos, tādējādi kavējot brokeru darbību tirgū;</w:t>
      </w:r>
      <w:r>
        <w:tab/>
      </w:r>
      <w:r>
        <w:br/>
        <w:t>2) Ziņojumā KP norādīja uz iespējamu minētās problēmas risinājumu – šaurā cenu paritātes nosacījuma  paredzēšanu attiecībās starp apdrošināšanas sabiedrībām un OCTA polišu izplatītājiem, lai tādējādi nodrošinātu apdrošināšanas brokeru kā nozīmīgu un nepieciešamu tirgus dalībnieku turpmāko darbību, kā arī palīdzētu saglabāt šo izplatīšanas kanālu uzticamību, nodrošinot patērētājiem izdevīgāko cenu par konkrēto apdrošināšanas produktu. Ar šaurajiem cenu paritātes nosacījumiem ir saprotami nosacījumi, kas paredz, ka piegādātājs (šajā gadījumā – apdrošināšanas sabiedrība) nosaka tādu cenu trešo pušu izplatīšanas kanālos, kas nav augstāka par cenu, ko tas piedāvā pats savos izplatīšanas kanālos (mājaslapā). KP norādīja, ka šauro cenu paritātes nosacījumu paredzēšana būtu attaisnojams konkurences ierobežojums, jo to atsvērtu patērētājiem radītais ieguvums;</w:t>
      </w:r>
      <w:r>
        <w:tab/>
      </w:r>
      <w:r>
        <w:br/>
        <w:t xml:space="preserve">3) vienlaikus no Ziņojuma satura kopumā neizriet priekšlikums šo jautājumu obligāti risināt normatīvā līmenī, tas ir nozares un par nozares normatīvo regulējumu atbildīgās </w:t>
      </w:r>
      <w:r>
        <w:lastRenderedPageBreak/>
        <w:t>institūcijas – Finanšu ministrijas – izšķiršanās par labāko risinājumu konkrētajai problēmai. KP ieskatā, šādi nosacījumi būtu primāri iekļaujami savstarpējās vienošanās starp apdrošināšanas sabiedrībām un brokeriem. Tomēr, ja nozarē tiek panākta vienošanās par šīs problēmas risinājumu normatīvā līmenī, tad svarīgi, ka regulējošajā normā tiek iekļauti šaurie cenu paritātes nosacījumi (paredzot, ka apdrošināšanas sabiedrība savos izplatīšanas kanālos nepiedāvā zemāku vai tādu pašu cenu kā apdrošināšanas starpnieki), nevis plašie cenu paritātes nosacījumi, kā tas šobrīd ir noteikts priekšlikumā, paredzot pilnīgi vienādus prēmiju apmērus dažādos izplatīšanas kanālos. </w:t>
      </w:r>
    </w:p>
    <w:p w14:paraId="4588C78A" w14:textId="77777777" w:rsidR="00293523" w:rsidRDefault="00000000">
      <w:pPr>
        <w:spacing w:before="240" w:after="240"/>
        <w:ind w:firstLine="706"/>
      </w:pPr>
      <w:r>
        <w:t xml:space="preserve">Līdz ar to darba grupā netika panākta vienošanās par deputāta </w:t>
      </w:r>
      <w:proofErr w:type="spellStart"/>
      <w:r>
        <w:t>Ģ.Štekerhofa</w:t>
      </w:r>
      <w:proofErr w:type="spellEnd"/>
      <w:r>
        <w:t xml:space="preserve"> un Latvijas Apdrošināšanas brokeru asociācija priekšlikumu.</w:t>
      </w:r>
    </w:p>
    <w:p w14:paraId="2B5BDDEA" w14:textId="77777777" w:rsidR="00293523" w:rsidRDefault="00000000">
      <w:pPr>
        <w:spacing w:before="240" w:after="240"/>
      </w:pPr>
      <w:r>
        <w:t> </w:t>
      </w:r>
    </w:p>
    <w:p w14:paraId="7E5D193E" w14:textId="77777777" w:rsidR="00293523" w:rsidRDefault="00000000">
      <w:pPr>
        <w:spacing w:before="240" w:after="240"/>
        <w:ind w:firstLine="706"/>
      </w:pPr>
      <w:r>
        <w:rPr>
          <w:b/>
        </w:rPr>
        <w:t>[4] Par valsts pārvaldes uzdevumu deleģēšanu LTAB</w:t>
      </w:r>
    </w:p>
    <w:p w14:paraId="549E6B6A" w14:textId="77777777" w:rsidR="00293523" w:rsidRDefault="00000000">
      <w:pPr>
        <w:spacing w:before="240" w:after="240"/>
      </w:pPr>
      <w:r>
        <w:t> </w:t>
      </w:r>
    </w:p>
    <w:p w14:paraId="5C8BA024" w14:textId="77777777" w:rsidR="00293523" w:rsidRDefault="00000000">
      <w:pPr>
        <w:spacing w:before="240" w:after="240"/>
        <w:ind w:firstLine="706"/>
      </w:pPr>
      <w:r>
        <w:t xml:space="preserve">Darba grupā notika vairākas diskusijas par deleģētajiem valsts pārvaldes uzdevumiem, kā arī no darba grupas locekļiem šī jautājuma diskusijā tika sagatavoti dažādu advokātu biroju </w:t>
      </w:r>
      <w:proofErr w:type="spellStart"/>
      <w:r>
        <w:t>izvērtējumi</w:t>
      </w:r>
      <w:proofErr w:type="spellEnd"/>
      <w:r>
        <w:t xml:space="preserve"> un piedāvāti papildu priekšlikumi vai pilnveidojumi likumprojekta redakcijām. Neskatoties uz papildus saņemto juridisko atbalstu darba grupā netika panākta vienošanās par priekšlikumiem, kas saistīti ar valsts pārvaldes uzdevumu deleģēšanu LTAB.</w:t>
      </w:r>
    </w:p>
    <w:p w14:paraId="738B6EB9" w14:textId="77777777" w:rsidR="00293523" w:rsidRDefault="00000000">
      <w:pPr>
        <w:spacing w:before="240" w:after="240"/>
        <w:ind w:firstLine="706"/>
      </w:pPr>
      <w:r>
        <w:t> </w:t>
      </w:r>
    </w:p>
    <w:p w14:paraId="4723B3C1" w14:textId="1DC320D0" w:rsidR="00293523" w:rsidRDefault="00000000">
      <w:pPr>
        <w:spacing w:before="240" w:after="240"/>
        <w:ind w:firstLine="706"/>
      </w:pPr>
      <w:r>
        <w:rPr>
          <w:b/>
        </w:rPr>
        <w:t xml:space="preserve">[4.1] </w:t>
      </w:r>
      <w:r w:rsidR="00737554">
        <w:t xml:space="preserve">Finanšu ministrija </w:t>
      </w:r>
      <w:r>
        <w:t xml:space="preserve">uzskata, ka LTAB iesniegtie priekšlikumi normu redakcijām attiecībā uz valsts pārvaldes uzdevumu deleģēšanu neatbilst Satversmes tiesas spriedumos un tiesību doktrīnā paustajām atziņām par tiesiskā regulējuma </w:t>
      </w:r>
      <w:proofErr w:type="spellStart"/>
      <w:r>
        <w:t>paredzamību</w:t>
      </w:r>
      <w:proofErr w:type="spellEnd"/>
      <w:r>
        <w:t xml:space="preserve"> un skaidrību. Tā, piemēram, Satversmes tiesa ir norādījusi, ka </w:t>
      </w:r>
      <w:proofErr w:type="spellStart"/>
      <w:r>
        <w:t>tiesību</w:t>
      </w:r>
      <w:proofErr w:type="spellEnd"/>
      <w:r>
        <w:t xml:space="preserve"> normas </w:t>
      </w:r>
      <w:proofErr w:type="spellStart"/>
      <w:r>
        <w:t>izdevēja</w:t>
      </w:r>
      <w:proofErr w:type="spellEnd"/>
      <w:r>
        <w:t xml:space="preserve"> </w:t>
      </w:r>
      <w:proofErr w:type="spellStart"/>
      <w:r>
        <w:t>pienākums</w:t>
      </w:r>
      <w:proofErr w:type="spellEnd"/>
      <w:r>
        <w:t xml:space="preserve"> ir </w:t>
      </w:r>
      <w:proofErr w:type="spellStart"/>
      <w:r>
        <w:t>rūpēties</w:t>
      </w:r>
      <w:proofErr w:type="spellEnd"/>
      <w:r>
        <w:t xml:space="preserve"> par to, lai </w:t>
      </w:r>
      <w:proofErr w:type="spellStart"/>
      <w:r>
        <w:t>tiesību</w:t>
      </w:r>
      <w:proofErr w:type="spellEnd"/>
      <w:r>
        <w:t xml:space="preserve"> norma tiktu </w:t>
      </w:r>
      <w:proofErr w:type="spellStart"/>
      <w:r>
        <w:t>formulēta</w:t>
      </w:r>
      <w:proofErr w:type="spellEnd"/>
      <w:r>
        <w:t xml:space="preserve"> tik </w:t>
      </w:r>
      <w:proofErr w:type="spellStart"/>
      <w:r>
        <w:t>nepārprotami</w:t>
      </w:r>
      <w:proofErr w:type="spellEnd"/>
      <w:r>
        <w:t xml:space="preserve">, ka to </w:t>
      </w:r>
      <w:proofErr w:type="spellStart"/>
      <w:r>
        <w:t>varētu</w:t>
      </w:r>
      <w:proofErr w:type="spellEnd"/>
      <w:r>
        <w:t xml:space="preserve"> pareizi </w:t>
      </w:r>
      <w:proofErr w:type="spellStart"/>
      <w:r>
        <w:t>interpretēt</w:t>
      </w:r>
      <w:proofErr w:type="spellEnd"/>
      <w:r>
        <w:t xml:space="preserve"> un </w:t>
      </w:r>
      <w:proofErr w:type="spellStart"/>
      <w:r>
        <w:t>piemērot</w:t>
      </w:r>
      <w:proofErr w:type="spellEnd"/>
      <w:r>
        <w:t xml:space="preserve">, bet </w:t>
      </w:r>
      <w:proofErr w:type="spellStart"/>
      <w:r>
        <w:t>indivīds</w:t>
      </w:r>
      <w:proofErr w:type="spellEnd"/>
      <w:r>
        <w:t xml:space="preserve"> </w:t>
      </w:r>
      <w:proofErr w:type="spellStart"/>
      <w:r>
        <w:t>varētu</w:t>
      </w:r>
      <w:proofErr w:type="spellEnd"/>
      <w:r>
        <w:t xml:space="preserve"> </w:t>
      </w:r>
      <w:proofErr w:type="spellStart"/>
      <w:r>
        <w:t>apzināties</w:t>
      </w:r>
      <w:proofErr w:type="spellEnd"/>
      <w:r>
        <w:t xml:space="preserve"> </w:t>
      </w:r>
      <w:proofErr w:type="spellStart"/>
      <w:r>
        <w:t>tās</w:t>
      </w:r>
      <w:proofErr w:type="spellEnd"/>
      <w:r>
        <w:t xml:space="preserve"> </w:t>
      </w:r>
      <w:proofErr w:type="spellStart"/>
      <w:r>
        <w:t>piemērošanas</w:t>
      </w:r>
      <w:proofErr w:type="spellEnd"/>
      <w:r>
        <w:t xml:space="preserve"> </w:t>
      </w:r>
      <w:proofErr w:type="spellStart"/>
      <w:r>
        <w:t>tiesiskās</w:t>
      </w:r>
      <w:proofErr w:type="spellEnd"/>
      <w:r>
        <w:t xml:space="preserve"> sekas (sk. Satversmes tiesas 2010. gada 19. </w:t>
      </w:r>
      <w:proofErr w:type="spellStart"/>
      <w:r>
        <w:t>jūnija</w:t>
      </w:r>
      <w:proofErr w:type="spellEnd"/>
      <w:r>
        <w:t xml:space="preserve"> sprieduma lietā Nr. 2010-02-01 9.4.2. punktu un 2011. gada 11. maija sprieduma lietā Nr. 2010-55-0106 13.1. punktu).</w:t>
      </w:r>
    </w:p>
    <w:p w14:paraId="3FB3D964" w14:textId="77777777" w:rsidR="00293523" w:rsidRDefault="00000000">
      <w:pPr>
        <w:spacing w:before="240" w:after="240"/>
        <w:ind w:firstLine="706"/>
      </w:pPr>
      <w:r>
        <w:t xml:space="preserve">Papildus Satversmes tiesa ir atzinusi, ka no Satversmes 92. panta otrajā teikumā  ietvertajām  tiesību  normu  kvalitātes  prasībām  neizriet  tas,  ka  ikvienai tiesību  normai  vajadzētu  būt  formulētai  kā  absolūti  precīzai  instrukcijai  (sk. Satversmes  tiesas  2019. gada  21. februāra sprieduma lietā Nr.2018-10-0103  18.1. punktu). Ņemot vērā tiesisko attiecību mainību vai konkrētās lietas īpašos apstākļus, pārāk </w:t>
      </w:r>
      <w:proofErr w:type="spellStart"/>
      <w:r>
        <w:t>kazuistisks</w:t>
      </w:r>
      <w:proofErr w:type="spellEnd"/>
      <w:r>
        <w:t xml:space="preserve"> tiesiskais regulējums var nebūt taisnīgs. Šāda situācija kļūtu vēl jo vairāk  iespējama,  ja  likumdevējs  tā  vietā,  lai  noteiktu  būtiskākos,  ilgākam  laika posmam piemērojamus noteikumus, sīki aprakstītu katras normas tiesisko sastāvu (sk. </w:t>
      </w:r>
      <w:r>
        <w:lastRenderedPageBreak/>
        <w:t>Satversmes tiesas 2012. gada 19. decembra lēmuma par tiesvedības izbeigšanu lietā  Nr. 2012-03-01   18.1. punktu).</w:t>
      </w:r>
    </w:p>
    <w:p w14:paraId="71A7A8D7" w14:textId="77777777" w:rsidR="00293523" w:rsidRDefault="00000000">
      <w:pPr>
        <w:spacing w:before="240" w:after="240"/>
        <w:ind w:firstLine="706"/>
      </w:pPr>
      <w:r>
        <w:t xml:space="preserve">Vienlaikus vēršam uzmanību uz tiesību doktrīnā norādīto, ka katrs  likums  un  tiesību  norma  ir  pieņemta konkrētos  vēsturiskos apstākļos,  kuros  meklējama  normas  pieņemšanas  nepieciešamība. Likumdevēja griba  izpaužas  nevis detaļās,  par  ko  katram  var  būt  savs  viedoklis,  bet  kopīgā tendencē. Tā izpaužas, balsojot par likumu kopumā, paļaujoties, ka teksts atbilst nospraustajiem  mērķiem  un  ka  iestādes  un  tiesas,  kuru  pienākums  ir  likumu piemērošana, iztulkos likumu saskaņā ar šiem mērķiem (sk.: </w:t>
      </w:r>
      <w:proofErr w:type="spellStart"/>
      <w:r>
        <w:t>Meļķisis</w:t>
      </w:r>
      <w:proofErr w:type="spellEnd"/>
      <w:r>
        <w:t xml:space="preserve"> E. Tiesību normu iztulkošana. Rīga, Latvijas Universitāte, 1999, 36. – 38.lpp.).</w:t>
      </w:r>
    </w:p>
    <w:p w14:paraId="4EDF9C18" w14:textId="77777777" w:rsidR="00737554" w:rsidRDefault="00000000" w:rsidP="00737554">
      <w:pPr>
        <w:spacing w:before="240" w:after="240"/>
        <w:ind w:firstLine="706"/>
      </w:pPr>
      <w:r>
        <w:t xml:space="preserve">Tiesiskā regulējuma skaidrības un </w:t>
      </w:r>
      <w:proofErr w:type="spellStart"/>
      <w:r>
        <w:t>paredzamības</w:t>
      </w:r>
      <w:proofErr w:type="spellEnd"/>
      <w:r>
        <w:t xml:space="preserve"> nodrošināšanas jautājumā </w:t>
      </w:r>
      <w:r w:rsidR="00737554">
        <w:t xml:space="preserve">Finanšu ministrija </w:t>
      </w:r>
      <w:r>
        <w:t>papildus uzsver Satversmes tiesas 2020. gada 24. septembra sprieduma lietā Nr. 2019-22-01 24. punktā norādīto, ka, lai pareizi interpretētu normu un noskaidrotu tās saturu, personai var būt nepieciešamas  specifiskas juridiskas  zināšanas. Taču tiesību  norma  var  būt  pietiekami  skaidra  un  paredzama  arī  tad,  ja  personai  šīs normas  tvēruma  noskaidrošanai  nepieciešama  atbilstoša  juridiskā  palīdzība  (sk., piemēram, Eiropas Cilvēktiesību tiesas 1996. gada  11. novembra sprieduma lietā  „</w:t>
      </w:r>
      <w:proofErr w:type="spellStart"/>
      <w:r>
        <w:t>Cantoni</w:t>
      </w:r>
      <w:proofErr w:type="spellEnd"/>
      <w:r>
        <w:t xml:space="preserve"> v. </w:t>
      </w:r>
      <w:proofErr w:type="spellStart"/>
      <w:r>
        <w:t>France</w:t>
      </w:r>
      <w:proofErr w:type="spellEnd"/>
      <w:r>
        <w:t>”, pieteikums Nr.17862/91, 35. punktu un 2009. gada 25. jūnija sprieduma lietā „</w:t>
      </w:r>
      <w:proofErr w:type="spellStart"/>
      <w:r>
        <w:t>Liivik</w:t>
      </w:r>
      <w:proofErr w:type="spellEnd"/>
      <w:r>
        <w:t xml:space="preserve"> v. </w:t>
      </w:r>
      <w:proofErr w:type="spellStart"/>
      <w:r>
        <w:t>Estonia</w:t>
      </w:r>
      <w:proofErr w:type="spellEnd"/>
      <w:r>
        <w:t>”, pieteikums Nr. 12157/05, 93. punktu).</w:t>
      </w:r>
    </w:p>
    <w:p w14:paraId="0D66DE1A" w14:textId="1A6C7C0C" w:rsidR="00293523" w:rsidRDefault="00737554" w:rsidP="00737554">
      <w:pPr>
        <w:spacing w:before="240" w:after="240"/>
        <w:ind w:firstLine="706"/>
      </w:pPr>
      <w:r>
        <w:t xml:space="preserve">Finanšu ministrija </w:t>
      </w:r>
      <w:r w:rsidR="00000000">
        <w:t xml:space="preserve">uzskata, ka, virzot LTAB piedāvāto normu redakcijas, OCTA likumā pēc būtības netiktu skaidri noteikts, ka LTAB pilda vairākus valsts pārvaldes deleģētos uzdevumus OCTA jomā. Aicinām detalizētu pamatojumu un </w:t>
      </w:r>
      <w:proofErr w:type="spellStart"/>
      <w:r w:rsidR="00000000">
        <w:t>izvērtējumu</w:t>
      </w:r>
      <w:proofErr w:type="spellEnd"/>
      <w:r w:rsidR="00000000">
        <w:t xml:space="preserve"> skatīt Ministru kabineta atbalstītā likumprojekta anotācijā attiecībā uz valsts pārvaldes uzdevumu deleģēšanu LTAB. Papildus argumentācija ir ietverta arī Finanšu ministrijas 2023. gada 27. oktobra vēstulē Nr. 2.1-21/17-2/3209, ar kuru tika iesniegti priekšlikumi likumprojekta 2. lasījumam, kā arī tās pielikumā pievienotajā Tieslietu ministrijas 2023. gada 5. jūnija vēstulē Nr.1-18/1778.</w:t>
      </w:r>
    </w:p>
    <w:p w14:paraId="3E635506" w14:textId="77777777" w:rsidR="00293523" w:rsidRDefault="00000000">
      <w:pPr>
        <w:spacing w:before="240" w:after="240"/>
        <w:ind w:firstLine="706"/>
      </w:pPr>
      <w:r>
        <w:t> </w:t>
      </w:r>
    </w:p>
    <w:p w14:paraId="03C1AF42" w14:textId="77777777" w:rsidR="00293523" w:rsidRDefault="00000000">
      <w:pPr>
        <w:spacing w:before="240" w:after="240"/>
        <w:ind w:firstLine="706"/>
      </w:pPr>
      <w:r>
        <w:rPr>
          <w:b/>
        </w:rPr>
        <w:t xml:space="preserve">[4.2] </w:t>
      </w:r>
      <w:r>
        <w:t>Latvijas Profesionālo apdrošināšanas brokeru asociācija ierosināja papildināt OCTA likuma 47. pantu ar otro daļu šādā redakcijā:</w:t>
      </w:r>
    </w:p>
    <w:p w14:paraId="386D35EB" w14:textId="77777777" w:rsidR="00293523" w:rsidRDefault="00000000">
      <w:pPr>
        <w:spacing w:before="240" w:after="240"/>
      </w:pPr>
      <w:r>
        <w:t> </w:t>
      </w:r>
    </w:p>
    <w:p w14:paraId="50BA4206" w14:textId="77777777" w:rsidR="00293523" w:rsidRDefault="00000000">
      <w:pPr>
        <w:spacing w:before="240" w:after="240"/>
      </w:pPr>
      <w:r>
        <w:t>“(2) Par Transportlīdzekļu apdrošinātāju biroja valdes locekli nevar būt persona, kura:</w:t>
      </w:r>
    </w:p>
    <w:p w14:paraId="1483CF3A" w14:textId="77777777" w:rsidR="00293523" w:rsidRDefault="00000000">
      <w:pPr>
        <w:spacing w:before="240" w:after="240"/>
        <w:ind w:firstLine="706"/>
      </w:pPr>
      <w:r>
        <w:t>1) ir apdrošinātāja darbinieks, valdes loceklis, padomes loceklis;</w:t>
      </w:r>
    </w:p>
    <w:p w14:paraId="1FB19EE4" w14:textId="77777777" w:rsidR="00293523" w:rsidRDefault="00000000">
      <w:pPr>
        <w:spacing w:before="240" w:after="240"/>
        <w:ind w:firstLine="706"/>
      </w:pPr>
      <w:r>
        <w:t>2) ir apdrošinātāju intereses pārstāvošu organizāciju darbinieks, valdes loceklis, padomes loceklis;</w:t>
      </w:r>
    </w:p>
    <w:p w14:paraId="7C295ADB" w14:textId="77777777" w:rsidR="00293523" w:rsidRDefault="00000000">
      <w:pPr>
        <w:spacing w:before="240" w:after="240"/>
        <w:ind w:firstLine="706"/>
      </w:pPr>
      <w:r>
        <w:t>3) ir apdrošinātāja patiesā labuma guvējs.”</w:t>
      </w:r>
    </w:p>
    <w:p w14:paraId="598F6F14" w14:textId="77777777" w:rsidR="00293523" w:rsidRDefault="00000000">
      <w:pPr>
        <w:spacing w:before="240" w:after="240"/>
      </w:pPr>
      <w:r>
        <w:lastRenderedPageBreak/>
        <w:t> </w:t>
      </w:r>
    </w:p>
    <w:p w14:paraId="6EA54547" w14:textId="77777777" w:rsidR="00293523" w:rsidRDefault="00000000">
      <w:pPr>
        <w:spacing w:before="240" w:after="240"/>
        <w:ind w:firstLine="706"/>
      </w:pPr>
      <w:r>
        <w:t>Savukārt Latvijas Apdrošināšanas brokeru asociācija ierosināja izteikt OCTA likuma 47. pantu šādā redakcijā:</w:t>
      </w:r>
    </w:p>
    <w:p w14:paraId="555FAE07" w14:textId="77777777" w:rsidR="00293523" w:rsidRDefault="00000000">
      <w:pPr>
        <w:spacing w:before="240" w:after="240"/>
        <w:ind w:firstLine="706"/>
      </w:pPr>
      <w:r>
        <w:t> </w:t>
      </w:r>
    </w:p>
    <w:p w14:paraId="52A4187C" w14:textId="77777777" w:rsidR="00293523" w:rsidRDefault="00000000">
      <w:pPr>
        <w:spacing w:before="240" w:after="240"/>
      </w:pPr>
      <w:r>
        <w:t>“(1) Transportlīdzekļu apdrošinātāju biroja izpildinstitūcija ir Transportlīdzekļu apdrošinātāju biroja valde. Valdes sastāvā ir valdes priekšsēdētājs un divi valdes locekļi. Transportlīdzekļu apdrošinātāju biroja valdes locekļus konkursa kārtībā izvēlas Finanšu ministrija un amatā ieceļ finanšu ministrs.</w:t>
      </w:r>
    </w:p>
    <w:p w14:paraId="7C4C33FF" w14:textId="77777777" w:rsidR="00293523" w:rsidRDefault="00000000">
      <w:pPr>
        <w:spacing w:before="240" w:after="240"/>
      </w:pPr>
      <w:r>
        <w:t>(2) Par Transportlīdzekļu apdrošinātāju biroja valdes locekli var būt persona:</w:t>
      </w:r>
    </w:p>
    <w:p w14:paraId="1273AD82" w14:textId="77777777" w:rsidR="00293523" w:rsidRDefault="00000000">
      <w:pPr>
        <w:spacing w:before="240" w:after="240"/>
        <w:ind w:firstLine="706"/>
      </w:pPr>
      <w:r>
        <w:t>1) kurai ir profesionālā kvalifikācija un pieredze, kas nepieciešama valdes loceklim noteikto amata pienākumu veikšanai (zināšanām par apdrošināšanas nozari ir jābūt tādām, kuras nepieciešamas Transportlīdzekļu apdrošinātāju biroja darbības raksturam un apjomam);</w:t>
      </w:r>
    </w:p>
    <w:p w14:paraId="7AD40F0B" w14:textId="77777777" w:rsidR="00293523" w:rsidRDefault="00000000">
      <w:pPr>
        <w:spacing w:before="240" w:after="240"/>
        <w:ind w:firstLine="706"/>
      </w:pPr>
      <w:r>
        <w:t>2) kurai nav pasludināts fiziskās personas maksātnespējas process vai no tā izbeigšanas dienas ir pagājis vismaz viens gads;</w:t>
      </w:r>
    </w:p>
    <w:p w14:paraId="34520964" w14:textId="77777777" w:rsidR="00293523" w:rsidRDefault="00000000">
      <w:pPr>
        <w:spacing w:before="240" w:after="240"/>
        <w:ind w:firstLine="706"/>
      </w:pPr>
      <w:r>
        <w:t>3) kurai nav sodāmība par tīša nozieguma izdarīšanu pret valsti, īpašumu vai pārvaldības kārtību vai par tīša nozieguma izdarīšanu tautsaimniecībā vai valsts institūciju dienestā, vai par tāda nozieguma izdarīšanu, kas saistīts ar terorismu, vai sodāmība par to ir noņemta vai dzēsta;</w:t>
      </w:r>
    </w:p>
    <w:p w14:paraId="4A3F067D" w14:textId="77777777" w:rsidR="00293523" w:rsidRDefault="00000000">
      <w:pPr>
        <w:spacing w:before="240" w:after="240"/>
        <w:ind w:firstLine="706"/>
      </w:pPr>
      <w:r>
        <w:t xml:space="preserve">4) kurai nav Noziedzīgi iegūtu līdzekļu legalizācijas un terorisma un </w:t>
      </w:r>
      <w:proofErr w:type="spellStart"/>
      <w:r>
        <w:t>proliferācijas</w:t>
      </w:r>
      <w:proofErr w:type="spellEnd"/>
      <w:r>
        <w:t xml:space="preserve"> finansēšanas novēršanas likumā paredzētā uzraudzības un kontroles institūcija vai Starptautisko un Latvijas Republikas nacionālo sankciju likumā paredzētā kompetentā institūcija piemērojusi sankciju un savā tīmekļvietnē publiskojusi informāciju par sankciju (izņemot brīdinājumu) par starptautisko vai nacionālo sankciju vai noziedzīgi iegūtu līdzekļu legalizāciju un terorisma un </w:t>
      </w:r>
      <w:proofErr w:type="spellStart"/>
      <w:r>
        <w:t>proliferācijas</w:t>
      </w:r>
      <w:proofErr w:type="spellEnd"/>
      <w:r>
        <w:t xml:space="preserve"> finansēšanas novēršanu reglamentējošu normatīvo aktu pārkāpšanu vai no sankcijas piemērošanas dienas ir pagājis vismaz viens gads;</w:t>
      </w:r>
    </w:p>
    <w:p w14:paraId="6EE8B5FC" w14:textId="77777777" w:rsidR="00293523" w:rsidRDefault="00000000">
      <w:pPr>
        <w:spacing w:before="240" w:after="240"/>
        <w:ind w:firstLine="706"/>
      </w:pPr>
      <w:r>
        <w:t>5) kurai nav konstatēti tādi apstākļi, kas nav savienojami ar Transportlīdzekļu apdrošinātāju biroja valdes locekļa amata pienākumu veikšanu;</w:t>
      </w:r>
    </w:p>
    <w:p w14:paraId="709A76CF" w14:textId="77777777" w:rsidR="00293523" w:rsidRDefault="00000000">
      <w:pPr>
        <w:spacing w:before="240" w:after="240"/>
        <w:ind w:firstLine="706"/>
      </w:pPr>
      <w:r>
        <w:t>6) kura nav darba tiesiskajās attiecībās, neieņem jebkādus amatus vai uz līguma pamata nesniedz pakalpojumus kādam no Transportlīdzekļu apdrošinātāju biroja biedriem, vai nav darba tiesiskajās attiecībās, neieņem jebkādus amatus vai uz līguma pamata nesniedz pakalpojumus organizācijai, kurā savu interešu pārstāvībai ir apvienojušies viens vai vairāki Transportlīdzekļu apdrošinātāju biroja biedri;</w:t>
      </w:r>
    </w:p>
    <w:p w14:paraId="70CCE38C" w14:textId="77777777" w:rsidR="00293523" w:rsidRDefault="00000000">
      <w:pPr>
        <w:spacing w:before="240" w:after="240"/>
        <w:ind w:firstLine="706"/>
      </w:pPr>
      <w:r>
        <w:t xml:space="preserve">7) kura pēdējo divu gadu laikā pirms iecelšanas Transportlīdzekļu apdrošinātāju biroja valdes locekļa amatā nav bijusi darba tiesiskajās attiecībās, nav ieņēmusi jebkādus amatus vai uz līguma pamata nav sniegusi pakalpojumus kādam no </w:t>
      </w:r>
      <w:r>
        <w:lastRenderedPageBreak/>
        <w:t>Transportlīdzekļu apdrošinātāju biroja biedriem, vai nav bijusi darba tiesiskajās attiecībās, nav ieņēmusi jebkādus amatus vai uz līguma pamata nav sniegusi pakalpojumus organizācijai, kurā savu interešu pārstāvībai ir apvienojušies viens vai vairāki Transportlīdzekļu apdrošinātāju biroja biedri.”</w:t>
      </w:r>
    </w:p>
    <w:p w14:paraId="7F4277E7" w14:textId="77777777" w:rsidR="00293523" w:rsidRDefault="00000000">
      <w:pPr>
        <w:spacing w:before="240" w:after="240"/>
      </w:pPr>
      <w:r>
        <w:t> </w:t>
      </w:r>
    </w:p>
    <w:p w14:paraId="33FED779" w14:textId="0A34E13A" w:rsidR="00293523" w:rsidRDefault="00737554">
      <w:pPr>
        <w:spacing w:before="240" w:after="240"/>
        <w:ind w:firstLine="706"/>
      </w:pPr>
      <w:r>
        <w:t>Finanšu ministrija</w:t>
      </w:r>
      <w:r w:rsidR="00000000">
        <w:t xml:space="preserve"> uzskata, ka Latvijas Profesionālo apdrošināšanas brokeru asociācijas un Latvijas Apdrošināšanas brokeru asociācijas iesniegtie priekšlikumi attiecībā uz LTAB valdes locekļiem nosakāmajām prasībām veidotu pretrunu ar tiesību normu ietvaru, kādā pašlaik darbojas LTAB.</w:t>
      </w:r>
    </w:p>
    <w:p w14:paraId="529D0EDA" w14:textId="77777777" w:rsidR="00293523" w:rsidRDefault="00000000">
      <w:pPr>
        <w:spacing w:before="240" w:after="240"/>
        <w:ind w:firstLine="706"/>
      </w:pPr>
      <w:r>
        <w:t>Vēršam uzmanību, ka atbilstoši OCTA likuma 2. pantam likuma mērķis ir aizsargāt ceļu satiksmes negadījumos cietušo trešo personu intereses un reglamentēt tiesiskās attiecības starp transportlīdzekļu īpašniekiem, tiesīgajiem lietotājiem un apdrošinātājiem sakarā ar transportlīdzekļu īpašnieku un tiesīgo lietotāju civiltiesiskās atbildības obligāto apdrošināšanu.</w:t>
      </w:r>
    </w:p>
    <w:p w14:paraId="6E4FAF7D" w14:textId="77777777" w:rsidR="00293523" w:rsidRDefault="00000000">
      <w:pPr>
        <w:spacing w:before="240" w:after="240"/>
        <w:ind w:firstLine="706"/>
      </w:pPr>
      <w:r>
        <w:t>Minētais likuma mērķis ir jāievēro gan apdrošinātājiem, gan LTAB, kuru veido paši apdrošinātāji, veicot likuma normu piemērošanu, lai izmaksātu zaudējumu atlīdzību ceļu satiksmes negadījumos cietušajām personām.</w:t>
      </w:r>
    </w:p>
    <w:p w14:paraId="020C36A4" w14:textId="39C593CA" w:rsidR="00293523" w:rsidRDefault="00737554">
      <w:pPr>
        <w:spacing w:before="240" w:after="240"/>
        <w:ind w:firstLine="706"/>
      </w:pPr>
      <w:r>
        <w:t>Finanšu ministrija</w:t>
      </w:r>
      <w:r w:rsidR="00000000">
        <w:t xml:space="preserve"> norāda, ka pašlaik OCTA likuma 43. panta nosaka, ka LTAB darbību regulē OCTA likums, bet tā tiesisko statusu nosaka Biedrību un nodibinājumu likums. Vienlaikus OCTA likuma 46. panta pirmā daļa nosaka, ka kopsapulce ir Transportlīdzekļu apdrošinātāju biroja lēmējinstitūcija. Kopsapulci veido visi apdrošinātāji. Saskaņā ar Biedrību un nodibinājumu likuma 35. panta pirmās daļas 2. punktu biedru sapulces kompetencē ietilpst valdes locekļu ievēlēšana un atsaukšana. Papildus ir jāņem vērā Latvijas Republikas Senāta Civillietu departamenta 2021. gada 18. augusta rīcības sēdes lēmumā lietā Nr. SKC-1095/2021 norādīto: “Kā jau tas vairākkārt atzīts judikatūrā (sk., piemēram, Augstākās tiesas Civillietu departamenta 2015. gada 22. septembra sprieduma lietā Nr. SKC-2778/2015 (C15163815) 7. punktu), valdes locekļa amats ir uzticības amats. Uzticība un tās zaudēšana ir subjektīvi faktori, tādēļ tas, vai uzticības zaudēšanai ir bijis objektīvs iemesls un vai valdes loceklim tika paziņots par dalībnieku sapulci, kurā šis jautājums izlemts, nav nekādas ietekmes uz sabiedrības dalībnieku vienbalsīga lēmuma spēkā esību. Tiesa uzticību zaudējušu valdes locekli nevar uzspiest sabiedrībai un tās dalībniekiem pretēji viņu gribai.”</w:t>
      </w:r>
    </w:p>
    <w:p w14:paraId="2998D82B" w14:textId="02C5F33F" w:rsidR="00293523" w:rsidRDefault="00737554">
      <w:pPr>
        <w:spacing w:before="240" w:after="240"/>
        <w:ind w:firstLine="706"/>
      </w:pPr>
      <w:r>
        <w:t>Finanšu ministrija</w:t>
      </w:r>
      <w:r w:rsidR="00000000">
        <w:t xml:space="preserve"> uzsver, ka Latvijas Republikas Satversmes 106. pantā kā viena no cilvēka </w:t>
      </w:r>
      <w:proofErr w:type="spellStart"/>
      <w:r w:rsidR="00000000">
        <w:t>pamattiesībām</w:t>
      </w:r>
      <w:proofErr w:type="spellEnd"/>
      <w:r w:rsidR="00000000">
        <w:t xml:space="preserve"> ir noteiktas tiesības brīvi izvēlēties nodarbošanos un darbavietu atbilstoši savām spējām un kvalifikācijai. Satversmes tiesa ir norādījusi, ka tiesību brīvi izvēlēties nodarbošanos tvērumā ietilpst tiesības izvēlēties vairākas nodarbošanās un tās vienlaicīgi īstenot. Satversmes 106. panta pirmais teikums neliedz valstij noteikt prasības, kas jāizpilda, lai konkrētu nodarbošanos varētu īstenot. Tiesības brīvi izvēlēties nodarbošanos, tostarp tiesības saglabāt esošo nodarbošanos, </w:t>
      </w:r>
      <w:r w:rsidR="00000000">
        <w:lastRenderedPageBreak/>
        <w:t>var ierobežot, taču attiecīgajam ierobežojumam jāatbilst kādam no Satversmes 116. pantā noteiktajiem leģitīmajiem mērķiem un jābūt samērīgam (sk. Satversmes tiesas 2015. gada 21. decembra sprieduma lietā Nr. 2015-03-01 14.2.</w:t>
      </w:r>
      <w:r w:rsidR="00032FEB">
        <w:t xml:space="preserve"> </w:t>
      </w:r>
      <w:r w:rsidR="00000000">
        <w:t>punktu).</w:t>
      </w:r>
    </w:p>
    <w:p w14:paraId="67A9B201" w14:textId="3368434C" w:rsidR="00293523" w:rsidRDefault="00737554">
      <w:pPr>
        <w:spacing w:before="240" w:after="240"/>
        <w:ind w:firstLine="706"/>
      </w:pPr>
      <w:r>
        <w:t xml:space="preserve">Finanšu ministrija </w:t>
      </w:r>
      <w:r w:rsidR="00000000">
        <w:t xml:space="preserve">norāda, ka likumprojektā ir paredzēti citi līdzekļi, kas Satversmes 106. panta noteiktās </w:t>
      </w:r>
      <w:proofErr w:type="spellStart"/>
      <w:r w:rsidR="00000000">
        <w:t>pamattiesības</w:t>
      </w:r>
      <w:proofErr w:type="spellEnd"/>
      <w:r w:rsidR="00000000">
        <w:t xml:space="preserve"> ierobežo mazāk, proti:</w:t>
      </w:r>
    </w:p>
    <w:p w14:paraId="741EACAC" w14:textId="77777777" w:rsidR="00293523" w:rsidRDefault="00000000">
      <w:pPr>
        <w:spacing w:before="240" w:after="240"/>
        <w:ind w:firstLine="706"/>
      </w:pPr>
      <w:r>
        <w:t>1) likumprojekts paredz papildināt OCTA likuma 44. pantu ar piekto, sesto un septīto daļu šādā redakcijā:</w:t>
      </w:r>
    </w:p>
    <w:p w14:paraId="57D33A4B" w14:textId="77777777" w:rsidR="00293523" w:rsidRDefault="00000000">
      <w:pPr>
        <w:spacing w:before="240" w:after="240"/>
        <w:ind w:firstLine="706"/>
      </w:pPr>
      <w:r>
        <w:t> </w:t>
      </w:r>
    </w:p>
    <w:p w14:paraId="5D703A2B" w14:textId="77777777" w:rsidR="00293523" w:rsidRDefault="00000000">
      <w:pPr>
        <w:spacing w:before="240" w:after="240"/>
      </w:pPr>
      <w:r>
        <w:t>“(5) Transportlīdzekļu apdrošinātāju birojs izstrādā, saskaņo ar Finanšu ministriju un apstiprina interešu konfliktu novēršanas kārtību tā darbībā (tai skaitā valdes locekļu darbībā), kas saistīta ar Transportlīdzekļu apdrošinātāju birojam deleģēto valsts pārvaldes uzdevumu izpildi.</w:t>
      </w:r>
    </w:p>
    <w:p w14:paraId="3574652E" w14:textId="77777777" w:rsidR="00293523" w:rsidRDefault="00000000">
      <w:pPr>
        <w:spacing w:before="240" w:after="240"/>
      </w:pPr>
      <w:r>
        <w:t>(6) Transportlīdzekļu apdrošinātāju birojs izstrādā un apstiprina šā likuma 39. panta piektajā daļā minēto sūdzību, kā arī ar šajā likumā Transportlīdzekļu apdrošinātāju birojam deleģētajiem valsts pārvaldes uzdevumiem saistīto sūdzību izskatīšanas kārtību, nodrošinot sūdzībā norādīto faktu pārbaudi un interešu konfliktu novēršanu sūdzības izskatīšanā. Transportlīdzekļu apdrošinātāju birojs ir atbildīgs par sūdzību izskatīšanas kārtības ievērošanu. Rakstveida informācija par sūdzību izskatīšanas kārtību ir brīvi pieejama Transportlīdzekļu apdrošinātāju biroja tīmekļvietnē.</w:t>
      </w:r>
    </w:p>
    <w:p w14:paraId="4D5A5C38" w14:textId="77777777" w:rsidR="00293523" w:rsidRDefault="00000000">
      <w:pPr>
        <w:spacing w:before="240" w:after="240"/>
      </w:pPr>
      <w:r>
        <w:t xml:space="preserve">(7) Transportlīdzekļu apdrošinātāju birojs regulāri analizē saņemtās sūdzības, izvērtē to iemeslus un cēloņus, kā arī reizi pusgadā </w:t>
      </w:r>
      <w:proofErr w:type="spellStart"/>
      <w:r>
        <w:t>rakstveidā</w:t>
      </w:r>
      <w:proofErr w:type="spellEnd"/>
      <w:r>
        <w:t xml:space="preserve"> informē Finanšu ministriju par </w:t>
      </w:r>
      <w:proofErr w:type="spellStart"/>
      <w:r>
        <w:t>izvērtējuma</w:t>
      </w:r>
      <w:proofErr w:type="spellEnd"/>
      <w:r>
        <w:t xml:space="preserve"> rezultātiem.”;</w:t>
      </w:r>
    </w:p>
    <w:p w14:paraId="1E90A743" w14:textId="77777777" w:rsidR="00293523" w:rsidRDefault="00000000">
      <w:pPr>
        <w:spacing w:before="240" w:after="240"/>
      </w:pPr>
      <w:r>
        <w:t> </w:t>
      </w:r>
    </w:p>
    <w:p w14:paraId="2E6D83CB" w14:textId="77777777" w:rsidR="00293523" w:rsidRDefault="00000000">
      <w:pPr>
        <w:spacing w:before="240" w:after="240"/>
        <w:ind w:firstLine="706"/>
      </w:pPr>
      <w:r>
        <w:t>2) likumprojekts paredz papildināt OCTA likumu ar 44.</w:t>
      </w:r>
      <w:r>
        <w:rPr>
          <w:vertAlign w:val="superscript"/>
        </w:rPr>
        <w:t>1</w:t>
      </w:r>
      <w:r>
        <w:t> pantu šādā redakcijā:</w:t>
      </w:r>
    </w:p>
    <w:p w14:paraId="3A65BD0A" w14:textId="77777777" w:rsidR="00293523" w:rsidRDefault="00000000">
      <w:pPr>
        <w:spacing w:before="240" w:after="240"/>
        <w:ind w:firstLine="706"/>
      </w:pPr>
      <w:r>
        <w:t> </w:t>
      </w:r>
    </w:p>
    <w:p w14:paraId="6C120E9C" w14:textId="77777777" w:rsidR="00293523" w:rsidRDefault="00000000">
      <w:pPr>
        <w:spacing w:before="240" w:after="240"/>
      </w:pPr>
      <w:r>
        <w:t>“</w:t>
      </w:r>
      <w:r>
        <w:rPr>
          <w:b/>
        </w:rPr>
        <w:t>44.</w:t>
      </w:r>
      <w:r>
        <w:rPr>
          <w:b/>
          <w:vertAlign w:val="superscript"/>
        </w:rPr>
        <w:t>1</w:t>
      </w:r>
      <w:r>
        <w:rPr>
          <w:b/>
        </w:rPr>
        <w:t> pants. Transportlīdzekļu apdrošinātāju biroja pārraudzības institūcija</w:t>
      </w:r>
    </w:p>
    <w:p w14:paraId="0BC758AE" w14:textId="77777777" w:rsidR="00293523" w:rsidRDefault="00000000">
      <w:pPr>
        <w:spacing w:before="240" w:after="240"/>
      </w:pPr>
      <w:r>
        <w:t>Jautājumos, kas saistīti ar šajā likumā Transportlīdzekļu apdrošinātāju birojam deleģētajiem valsts pārvaldes uzdevumiem, Transportlīdzekļu apdrošinātāju birojs atrodas Finanšu ministrijas pārraudzībā.”</w:t>
      </w:r>
    </w:p>
    <w:p w14:paraId="79A1D529" w14:textId="77777777" w:rsidR="00293523" w:rsidRDefault="00000000">
      <w:pPr>
        <w:spacing w:before="240" w:after="240"/>
      </w:pPr>
      <w:r>
        <w:t> </w:t>
      </w:r>
    </w:p>
    <w:p w14:paraId="507B90D0" w14:textId="7F3430D9" w:rsidR="00293523" w:rsidRDefault="00000000">
      <w:pPr>
        <w:spacing w:before="240" w:after="240"/>
        <w:ind w:firstLine="706"/>
      </w:pPr>
      <w:r>
        <w:t xml:space="preserve">Līdz ar to </w:t>
      </w:r>
      <w:r w:rsidR="00737554">
        <w:t xml:space="preserve">Finanšu ministrija </w:t>
      </w:r>
      <w:r>
        <w:t xml:space="preserve">uzskata, ka Latvijas Profesionālo apdrošināšanas brokeru asociācijas un Latvijas Apdrošināšanas brokeru asociācijas piedāvātais regulējums varētu nesamērīgi ierobežot Latvijas Republikas Satversmes 106. pantā noteiktās cilvēka </w:t>
      </w:r>
      <w:proofErr w:type="spellStart"/>
      <w:r>
        <w:t>pamattiesības</w:t>
      </w:r>
      <w:proofErr w:type="spellEnd"/>
      <w:r>
        <w:t xml:space="preserve"> brīvi izvēlēties nodarbošanos un darbavietu atbilstoši savām spējām un kvalifikācijai.</w:t>
      </w:r>
    </w:p>
    <w:p w14:paraId="2F6F4C69" w14:textId="77777777" w:rsidR="00293523" w:rsidRDefault="00000000">
      <w:pPr>
        <w:spacing w:before="240" w:after="240"/>
        <w:ind w:firstLine="706"/>
      </w:pPr>
      <w:r>
        <w:lastRenderedPageBreak/>
        <w:t> </w:t>
      </w:r>
    </w:p>
    <w:p w14:paraId="5BD3319C" w14:textId="77777777" w:rsidR="00293523" w:rsidRDefault="00000000">
      <w:pPr>
        <w:spacing w:before="240" w:after="240"/>
        <w:ind w:firstLine="706"/>
      </w:pPr>
      <w:r>
        <w:rPr>
          <w:b/>
        </w:rPr>
        <w:t xml:space="preserve">[4.3] </w:t>
      </w:r>
      <w:proofErr w:type="spellStart"/>
      <w:r>
        <w:t>Balcia</w:t>
      </w:r>
      <w:proofErr w:type="spellEnd"/>
      <w:r>
        <w:t xml:space="preserve"> Insurance SE (turpmāk - </w:t>
      </w:r>
      <w:proofErr w:type="spellStart"/>
      <w:r>
        <w:t>Balcia</w:t>
      </w:r>
      <w:proofErr w:type="spellEnd"/>
      <w:r>
        <w:t>) ierosina izteikt  44. panta sesto daļu (likumprojekta redakcijā) šādā redakcijā:</w:t>
      </w:r>
    </w:p>
    <w:p w14:paraId="502302DD" w14:textId="77777777" w:rsidR="00293523" w:rsidRDefault="00000000">
      <w:pPr>
        <w:spacing w:before="240" w:after="240"/>
        <w:ind w:firstLine="706"/>
      </w:pPr>
      <w:r>
        <w:t> </w:t>
      </w:r>
    </w:p>
    <w:p w14:paraId="6A31C647" w14:textId="77777777" w:rsidR="00293523" w:rsidRDefault="00000000">
      <w:pPr>
        <w:spacing w:before="240" w:after="240"/>
      </w:pPr>
      <w:r>
        <w:t>“(6) Transportlīdzekļu apdrošinātāju birojs saskaņo ar Finanšu ministriju:</w:t>
      </w:r>
    </w:p>
    <w:p w14:paraId="12908483" w14:textId="77777777" w:rsidR="00293523" w:rsidRDefault="00000000">
      <w:pPr>
        <w:spacing w:before="240" w:after="240"/>
        <w:ind w:firstLine="706"/>
      </w:pPr>
      <w:r>
        <w:t>1) statūtus un to grozījumus attiecībā uz deleģēto valsts pārvaldes uzdevumu;</w:t>
      </w:r>
    </w:p>
    <w:p w14:paraId="4D384C96" w14:textId="77777777" w:rsidR="00293523" w:rsidRDefault="00000000">
      <w:pPr>
        <w:spacing w:before="240" w:after="240"/>
        <w:ind w:firstLine="706"/>
      </w:pPr>
      <w:r>
        <w:t>2) budžeta veidošanas principus attiecībā uz deleģēto valsts pārvaldes uzdevumu;</w:t>
      </w:r>
    </w:p>
    <w:p w14:paraId="03DEFCC6" w14:textId="77777777" w:rsidR="00293523" w:rsidRDefault="00000000">
      <w:pPr>
        <w:spacing w:before="240" w:after="240"/>
        <w:ind w:firstLine="706"/>
      </w:pPr>
      <w:r>
        <w:t>3) lēmumus par reorganizāciju, uzņēmuma pāreju vai cita veida darbības restrukturizāciju attiecībā uz deleģēto valsts pārvaldes uzdevumu.”</w:t>
      </w:r>
    </w:p>
    <w:p w14:paraId="1C93E916" w14:textId="77777777" w:rsidR="00293523" w:rsidRDefault="00000000">
      <w:pPr>
        <w:spacing w:before="240" w:after="240"/>
      </w:pPr>
      <w:r>
        <w:t> </w:t>
      </w:r>
    </w:p>
    <w:p w14:paraId="7161AA76" w14:textId="2AB91590" w:rsidR="00293523" w:rsidRDefault="00000000">
      <w:pPr>
        <w:spacing w:before="240" w:after="240"/>
      </w:pPr>
      <w:r>
        <w:t xml:space="preserve">            </w:t>
      </w:r>
      <w:r w:rsidR="00737554">
        <w:t xml:space="preserve">Finanšu ministrija </w:t>
      </w:r>
      <w:r>
        <w:t>uzskata, ka atsevišķu saskaņošanas darbību veikšana attiecībā uz LTAB budžeta veidošanu būtu pārmērīga un šīm uzraudzības darbībām nepieciešamais valsts pārvaldes resursu izlietojums nebūtu lietderīgs. Savukārt LTAB reorganizācijas vai cita veida darbības restrukturizācijas jautājumi, kas varētu ietekmēt deleģēto valsts pārvaldes uzdevumu izpildi ir risināmi LTAB statūtos, kuru saskaņošanu ar Finanšu ministriju paredz likumprojekts.</w:t>
      </w:r>
    </w:p>
    <w:p w14:paraId="4AD556EB" w14:textId="4527BA36" w:rsidR="00293523" w:rsidRDefault="00000000">
      <w:pPr>
        <w:spacing w:before="240" w:after="240"/>
      </w:pPr>
      <w:r>
        <w:t xml:space="preserve">            Papildus </w:t>
      </w:r>
      <w:r w:rsidR="00737554">
        <w:t>Finanšu ministrija</w:t>
      </w:r>
      <w:r>
        <w:t xml:space="preserve"> norāda, ka deleģējot valsts pārvaldes uzdevumu, ārējā normatīvajā aktā nosaka iestādi, kuras padotībā atrodas pilnvarotā persona attiecībā uz konkrētā uzdevuma izpildi. Padotību īsteno pakļautības vai pārraudzības formā (Valsts pārvaldes iekārtas likuma 7.panta trešā daļa). Padotības forma ir apjoms, kādā augstāka iestāde var iejaukties zemākas iestādes darbā. Padotības formas ir noteiktas normatīvajā aktā, kas regulē attiecīgās iestādes darbību. Padotības formas izvēle parasti ir atkarīga no tā, cik svarīgi ir nodrošināt tiešu, tostarp politisku kontroli, vai tieši otrādi, to mazināt. Likumā minētās padotības formas – pakļautība un pārraudzība – ir padotības formu “galējības”, un normatīvajos aktos padotības formas parasti ir regulētas </w:t>
      </w:r>
      <w:proofErr w:type="spellStart"/>
      <w:r>
        <w:t>niansētāk</w:t>
      </w:r>
      <w:proofErr w:type="spellEnd"/>
      <w:r>
        <w:t xml:space="preserve">, un tajos var būt ietverti arī citi padotības nosacījumi (sk. J. Briede, E. </w:t>
      </w:r>
      <w:proofErr w:type="spellStart"/>
      <w:r>
        <w:t>Danovskis</w:t>
      </w:r>
      <w:proofErr w:type="spellEnd"/>
      <w:r>
        <w:t>, A. Kovaļevska “Administratīvās tiesības. Mācību grāmata” – Tiesu namu aģentūra, 2016, Rīga – 57.-58. lpp.).</w:t>
      </w:r>
    </w:p>
    <w:p w14:paraId="75745E7E" w14:textId="543DC58C" w:rsidR="00293523" w:rsidRDefault="00000000">
      <w:pPr>
        <w:spacing w:before="240" w:after="240"/>
        <w:ind w:firstLine="706"/>
      </w:pPr>
      <w:r>
        <w:t xml:space="preserve">Tādējādi likumprojektā ir paredzēts regulējums, nosakot, ka jautājumos, kas saistīti ar OCTA likumā LTAB deleģētajiem valsts pārvaldes uzdevumiem, LTAB atrodas Finanšu ministrijas pārraudzībā. Izvēloties nepieciešamo regulējumu OCTA likumā attiecībā uz LTAB padotības formu, tiek ņemts vērā LTAB deleģēto valsts pārvaldes uzdevumu raksturs, proti, LTAB deleģētie valsts pārvaldes uzdevumi izpildāmi pēc iespējas patstāvīgi, LTAB rīkojoties OCTA likumā noteiktā regulējuma ietvaros. </w:t>
      </w:r>
      <w:r w:rsidR="00737554">
        <w:t xml:space="preserve">Finanšu ministrija </w:t>
      </w:r>
      <w:r>
        <w:t xml:space="preserve"> uzsver, ka pārraudzība pār LTAB tiek īstenota Valsts pārvaldes iekārtas likumā noteiktajā kārtībā, ņemot vērā Valsts pārvaldes iekārtas </w:t>
      </w:r>
      <w:r>
        <w:lastRenderedPageBreak/>
        <w:t>likumā 3.panta otrās daļas regulējumu, kas paredz, ka šā likuma noteikumi attiecas arī uz privātpersonu, kura pilda likumā noteiktajā kārtībā tai deleģētos vai ar pilnvarojumu nodotos valsts pārvaldes uzdevumus, kā arī Valsts pārvaldes iekārtas likumā 7.panta piektās daļas regulējumu, kas nosaka, ka pārraudzība nozīmē augstākas iestādes vai amatpersonas tiesības pārbaudīt zemākas iestādes vai amatpersonas lēmuma tiesiskumu un atcelt prettiesisku lēmumu, kā arī prettiesiskas bezdarbības gadījumā dot rīkojumu pieņemt lēmumu.</w:t>
      </w:r>
    </w:p>
    <w:p w14:paraId="0C5A01E9" w14:textId="77777777" w:rsidR="00293523" w:rsidRDefault="00000000">
      <w:pPr>
        <w:spacing w:before="240" w:after="240"/>
        <w:ind w:firstLine="706"/>
      </w:pPr>
      <w:r>
        <w:t> </w:t>
      </w:r>
    </w:p>
    <w:p w14:paraId="7407FE1D" w14:textId="77777777" w:rsidR="00293523" w:rsidRDefault="00000000">
      <w:pPr>
        <w:spacing w:before="240" w:after="240"/>
        <w:ind w:firstLine="706"/>
      </w:pPr>
      <w:r>
        <w:rPr>
          <w:b/>
        </w:rPr>
        <w:t>[4.4]</w:t>
      </w:r>
      <w:r>
        <w:t xml:space="preserve"> Latvijas Profesionālo apdrošināšanas brokeru asociācija ir ierosinājusi noteikt, ka pārraudzība pār jautājumiem, kas saistīti ar LTAB deleģētajiem valsts pārvaldes uzdevumiem, būtu jānodod Latvijas Bankai.</w:t>
      </w:r>
    </w:p>
    <w:p w14:paraId="71ACA0C2" w14:textId="77777777" w:rsidR="00293523" w:rsidRDefault="00000000">
      <w:pPr>
        <w:spacing w:before="240" w:after="240"/>
        <w:ind w:firstLine="706"/>
      </w:pPr>
      <w:r>
        <w:t>Vēršam uzmanību, ka Latvijas Banka veic apdrošināšanas sabiedrību uzraudzību atbilstoši Apdrošināšanas un pārapdrošināšanas likumā un Apdrošināšanas un pārapdrošināšanas izplatīšanas likumā noteiktajam.</w:t>
      </w:r>
    </w:p>
    <w:p w14:paraId="06A026FE" w14:textId="77777777" w:rsidR="00293523" w:rsidRDefault="00000000">
      <w:pPr>
        <w:spacing w:before="240" w:after="240"/>
        <w:ind w:firstLine="706"/>
      </w:pPr>
      <w:r>
        <w:t>Jau pašlaik Finanšu ministrija sadarbojas ar LTAB politikas veidošanas jautājumos OCTA jomā. Līdz ar to ir lietderīgi turpmāk noteikt kārtību, kas paredz LTAB pārraudzību attiecībā uz  deleģētajiem valsts pārvaldes uzdevumiem veikt Finanšu ministrijai. Nav konstatēti apstākļi, ka šāda pārraudzības kārtība varētu būt mazāk efektīva.</w:t>
      </w:r>
    </w:p>
    <w:p w14:paraId="4904A322" w14:textId="77777777" w:rsidR="00293523" w:rsidRDefault="00000000">
      <w:pPr>
        <w:spacing w:before="240" w:after="240"/>
        <w:ind w:firstLine="706"/>
      </w:pPr>
      <w:r>
        <w:t> </w:t>
      </w:r>
    </w:p>
    <w:p w14:paraId="51F3266B" w14:textId="77777777" w:rsidR="00293523" w:rsidRDefault="00000000">
      <w:pPr>
        <w:spacing w:before="240" w:after="240"/>
        <w:ind w:firstLine="706"/>
      </w:pPr>
      <w:r>
        <w:rPr>
          <w:b/>
        </w:rPr>
        <w:t>[4.5]</w:t>
      </w:r>
      <w:r>
        <w:t xml:space="preserve"> Latvijas Profesionālo apdrošināšanas brokeru asociācija ierosina izteikt 47. panta trešo daļu šādā redakcijā:</w:t>
      </w:r>
    </w:p>
    <w:p w14:paraId="7815B341" w14:textId="77777777" w:rsidR="00293523" w:rsidRDefault="00000000">
      <w:pPr>
        <w:spacing w:before="240" w:after="240"/>
        <w:ind w:firstLine="706"/>
      </w:pPr>
      <w:r>
        <w:t> </w:t>
      </w:r>
    </w:p>
    <w:p w14:paraId="738AC364" w14:textId="77777777" w:rsidR="00293523" w:rsidRDefault="00000000">
      <w:pPr>
        <w:spacing w:before="240" w:after="240"/>
      </w:pPr>
      <w:r>
        <w:t>“(3) Finanšu ministrija izstrādā un apstiprina prasības Transportlīdzekļu apdrošinātāju biroja valdes locekļu atbilstības un piemērotības novērtēšanai un nosaka:</w:t>
      </w:r>
    </w:p>
    <w:p w14:paraId="2D76BA0E" w14:textId="77777777" w:rsidR="00293523" w:rsidRDefault="00000000">
      <w:pPr>
        <w:spacing w:before="240" w:after="240"/>
        <w:ind w:firstLine="706"/>
      </w:pPr>
      <w:r>
        <w:t>1) valdes locekļu atbilstības un piemērotības novērtēšanas kārtību;</w:t>
      </w:r>
    </w:p>
    <w:p w14:paraId="3ECC8620" w14:textId="77777777" w:rsidR="00293523" w:rsidRDefault="00000000">
      <w:pPr>
        <w:spacing w:before="240" w:after="240"/>
        <w:ind w:firstLine="706"/>
      </w:pPr>
      <w:r>
        <w:t>2) valdes locekļiem nepieciešamo zināšanu, prasmju un pieredzes apjomu.”</w:t>
      </w:r>
    </w:p>
    <w:p w14:paraId="474247B3" w14:textId="77777777" w:rsidR="00293523" w:rsidRDefault="00000000">
      <w:pPr>
        <w:spacing w:before="240" w:after="240"/>
        <w:ind w:firstLine="706"/>
      </w:pPr>
      <w:r>
        <w:t> </w:t>
      </w:r>
    </w:p>
    <w:p w14:paraId="54C58235" w14:textId="77777777" w:rsidR="00293523" w:rsidRDefault="00000000">
      <w:pPr>
        <w:spacing w:before="240" w:after="240"/>
        <w:ind w:firstLine="706"/>
      </w:pPr>
      <w:r>
        <w:t>Savukārt Latvijas apdrošināšanas brokeru asociācija ierosina izteikt 47.panta trešo daļu šādā redakcijā:</w:t>
      </w:r>
    </w:p>
    <w:p w14:paraId="3820FF79" w14:textId="77777777" w:rsidR="00293523" w:rsidRDefault="00000000">
      <w:pPr>
        <w:spacing w:before="240" w:after="240"/>
      </w:pPr>
      <w:r>
        <w:t>“(3) Finanšu ministrija izstrādā un apstiprina prasības Transportlīdzekļu apdrošinātāju biroja valdes locekļu atbilstības un piemērotības novērtēšanai, kas nosaka:</w:t>
      </w:r>
    </w:p>
    <w:p w14:paraId="64F5A517" w14:textId="77777777" w:rsidR="00293523" w:rsidRDefault="00000000">
      <w:pPr>
        <w:spacing w:before="240" w:after="240"/>
        <w:ind w:firstLine="706"/>
      </w:pPr>
      <w:r>
        <w:t>1) valdes locekļu atbilstības un piemērotības novērtēšanas kārtību;</w:t>
      </w:r>
    </w:p>
    <w:p w14:paraId="3ECB3EEB" w14:textId="77777777" w:rsidR="00293523" w:rsidRDefault="00000000">
      <w:pPr>
        <w:spacing w:before="240" w:after="240"/>
        <w:ind w:firstLine="706"/>
      </w:pPr>
      <w:r>
        <w:t>2) valdes locekļiem nepieciešamo zināšanu, prasmju un pieredzes apjomu;</w:t>
      </w:r>
    </w:p>
    <w:p w14:paraId="163995DD" w14:textId="77777777" w:rsidR="00293523" w:rsidRDefault="00000000">
      <w:pPr>
        <w:spacing w:before="240" w:after="240"/>
        <w:ind w:firstLine="706"/>
      </w:pPr>
      <w:r>
        <w:lastRenderedPageBreak/>
        <w:t>3) interešu konfliktu novēršanas kārtību Transportlīdzekļu apdrošinātāju biroja valdes locekļu darbībā.”</w:t>
      </w:r>
    </w:p>
    <w:p w14:paraId="3A37069E" w14:textId="77777777" w:rsidR="00293523" w:rsidRDefault="00000000">
      <w:pPr>
        <w:spacing w:before="240" w:after="240"/>
        <w:ind w:firstLine="706"/>
      </w:pPr>
      <w:r>
        <w:t> </w:t>
      </w:r>
    </w:p>
    <w:p w14:paraId="6C05B23D" w14:textId="3DB34E35" w:rsidR="00293523" w:rsidRDefault="00737554">
      <w:pPr>
        <w:spacing w:before="240" w:after="240"/>
        <w:ind w:firstLine="706"/>
      </w:pPr>
      <w:r>
        <w:t>Finanšu ministrija</w:t>
      </w:r>
      <w:r w:rsidR="00000000">
        <w:t xml:space="preserve"> uzsver, ka likumprojektā ir paredzēts izteikt OCTA likuma 47. panta trešo daļu (likumprojekta 12. panta redakcijā) šādā redakcijā:</w:t>
      </w:r>
    </w:p>
    <w:p w14:paraId="3193BC02" w14:textId="77777777" w:rsidR="00293523" w:rsidRDefault="00000000">
      <w:pPr>
        <w:spacing w:before="240" w:after="240"/>
        <w:ind w:firstLine="706"/>
      </w:pPr>
      <w:r>
        <w:t> </w:t>
      </w:r>
    </w:p>
    <w:p w14:paraId="0BA0574C" w14:textId="77777777" w:rsidR="00293523" w:rsidRDefault="00000000">
      <w:pPr>
        <w:spacing w:before="240" w:after="240"/>
      </w:pPr>
      <w:r>
        <w:t>“(3) Transportlīdzekļu apdrošinātāju birojs izstrādā, saskaņo ar Finanšu ministriju un apstiprina kārtību Transportlīdzekļu apdrošinātāju biroja valdes locekļu atbilstības un piemērotības novērtēšanai atbilstoši šā panta otrās daļas prasībām.”</w:t>
      </w:r>
    </w:p>
    <w:p w14:paraId="2141A56D" w14:textId="77777777" w:rsidR="00293523" w:rsidRDefault="00000000">
      <w:pPr>
        <w:spacing w:before="240" w:after="240"/>
      </w:pPr>
      <w:r>
        <w:t> </w:t>
      </w:r>
    </w:p>
    <w:p w14:paraId="6E73FD85" w14:textId="77777777" w:rsidR="00293523" w:rsidRDefault="00000000">
      <w:pPr>
        <w:spacing w:before="240" w:after="240"/>
        <w:ind w:firstLine="706"/>
      </w:pPr>
      <w:r>
        <w:t>Latvijas Profesionālo apdrošināšanas brokeru asociācija uzskata, ka minētā likumprojekta redakcija paredz, ka LTAB valde pati izstrādā un apstiprina valdes atbilstības un piemērotības kārtību kā arī valdes locekļiem izvirzāmās prasības. Šāds regulējums būtu pretrunā labas pārvaldības principam un radītu interešu konfliktu. Valdes locekļiem izvirzāmo prasību noteikšana būtu jāuztic Finanšu ministrijai vai Latvijas Bankai.</w:t>
      </w:r>
    </w:p>
    <w:p w14:paraId="72D1B69F" w14:textId="77777777" w:rsidR="00293523" w:rsidRDefault="00000000">
      <w:pPr>
        <w:spacing w:before="240" w:after="240"/>
        <w:ind w:firstLine="706"/>
      </w:pPr>
      <w:r>
        <w:t>Informējam, ka saskaņā ar OCTA likuma 45. un 46. pantu LTAB pārvaldes institūcijas ir kopsapulce un valde. Kopsapulce ir LTAB lēmējinstitūcija. Kopsapulci veido visi apdrošinātāji.</w:t>
      </w:r>
    </w:p>
    <w:p w14:paraId="7257F3C2" w14:textId="12DD71B4" w:rsidR="00293523" w:rsidRDefault="00737554">
      <w:pPr>
        <w:spacing w:before="240" w:after="240"/>
        <w:ind w:firstLine="706"/>
      </w:pPr>
      <w:r>
        <w:t>Finanšu ministrija</w:t>
      </w:r>
      <w:r>
        <w:t xml:space="preserve"> </w:t>
      </w:r>
      <w:r w:rsidR="00000000">
        <w:t xml:space="preserve"> norāda, ka, veicot likumprojektā paredzētās normas interpretāciju, no tās izriet, ka LTAB (proti, LTAB kopsapulce un valde) izstrādās kārtības projektu valdes locekļu atbilstības un piemērotības novērtēšanai un iesniegs to Finanšu ministrijai. Finanšu ministrija izvērtēs minētās kārtības projekta atbilstību likumā noteiktajām prasībām un sniegs saskaņojumu, ja minētās kārtības projekts būs izstrādāts atbilstoši likumā noteiktajām prasībām. Tikai pēc Finanšu ministrijas saskaņojuma saņemšanas LTAB kopsapulce apstiprinās minēto kārtību. Līdz ar to </w:t>
      </w:r>
      <w:r>
        <w:t>Finanšu ministrija</w:t>
      </w:r>
      <w:r w:rsidR="00000000">
        <w:t xml:space="preserve"> neuzskata, ka likumprojektā paredzētais regulējums radītu interešu konfliktu vai pārkāptu labas pārvaldības principu.</w:t>
      </w:r>
    </w:p>
    <w:p w14:paraId="332F5F60" w14:textId="77777777" w:rsidR="00293523" w:rsidRDefault="00000000">
      <w:pPr>
        <w:spacing w:before="240" w:after="240"/>
        <w:ind w:firstLine="706"/>
      </w:pPr>
      <w:r>
        <w:t> </w:t>
      </w:r>
    </w:p>
    <w:p w14:paraId="3B6AB021" w14:textId="77777777" w:rsidR="00293523" w:rsidRDefault="00000000">
      <w:pPr>
        <w:spacing w:before="240" w:after="240"/>
        <w:ind w:firstLine="706"/>
      </w:pPr>
      <w:r>
        <w:rPr>
          <w:b/>
        </w:rPr>
        <w:t>[5] Personas datu apstrāde</w:t>
      </w:r>
    </w:p>
    <w:p w14:paraId="06F3BC0E" w14:textId="77777777" w:rsidR="00293523" w:rsidRDefault="00000000">
      <w:pPr>
        <w:spacing w:before="240" w:after="240"/>
      </w:pPr>
      <w:r>
        <w:t> </w:t>
      </w:r>
    </w:p>
    <w:p w14:paraId="4F82254D" w14:textId="77777777" w:rsidR="00293523" w:rsidRDefault="00000000">
      <w:pPr>
        <w:spacing w:before="240" w:after="240"/>
        <w:ind w:firstLine="706"/>
      </w:pPr>
      <w:r>
        <w:t>LTAB ierosina OCTA likuma 9.</w:t>
      </w:r>
      <w:r>
        <w:rPr>
          <w:vertAlign w:val="superscript"/>
        </w:rPr>
        <w:t>2</w:t>
      </w:r>
      <w:r>
        <w:t xml:space="preserve"> pantā paredzēt, ka LTAB </w:t>
      </w:r>
      <w:proofErr w:type="spellStart"/>
      <w:r>
        <w:t>nosūta</w:t>
      </w:r>
      <w:proofErr w:type="spellEnd"/>
      <w:r>
        <w:t xml:space="preserve"> paziņojumus par līguma izbeigšanos ne tikai tajos gadījumos, kad OCTA apdrošināšanas līgums izbeigts pirms termiņa (kā tas ir spēkā esošajā OCTA likuma 10. pantā minēts), bet arī tajos gadījumos, kad līguma darbības termiņš beidzies, un klients nav noslēdzis jaunu līgumu. LTAB uzskata, ka tādējādi tiktu mazināta iespēja saņemt sodu par </w:t>
      </w:r>
      <w:r>
        <w:lastRenderedPageBreak/>
        <w:t>transportlīdzekļa izmantošanu ceļu satiksmē bez OCTA līguma, kā arī pasargātu šīs personas no finansiāliem zaudējumiem, ja ceļu satiksmes negadījumā nodarītie zaudējumi būtu jāsedz pašiem autovadītājiem.</w:t>
      </w:r>
    </w:p>
    <w:p w14:paraId="4EDDC800" w14:textId="10091E10" w:rsidR="00293523" w:rsidRDefault="00737554">
      <w:pPr>
        <w:spacing w:before="240" w:after="240"/>
        <w:ind w:firstLine="706"/>
      </w:pPr>
      <w:r>
        <w:t>Finanšu ministrija</w:t>
      </w:r>
      <w:r w:rsidR="00000000">
        <w:t xml:space="preserve"> norāda, ka līgumus, tai skaitā, OCTA līgumu, noslēdz ar konkrētu, uz līguma noslēgšanu vērstu darbību veikšanu, nevis ar paziņojuma par līguma izbeigšanos nosūtīšanu vai saņemšanu.</w:t>
      </w:r>
    </w:p>
    <w:p w14:paraId="2D4E775A" w14:textId="77777777" w:rsidR="00293523" w:rsidRDefault="00000000">
      <w:pPr>
        <w:spacing w:before="240" w:after="240"/>
        <w:ind w:firstLine="706"/>
      </w:pPr>
      <w:r>
        <w:t>Uzsveram, ka OCTA likuma 9.</w:t>
      </w:r>
      <w:r>
        <w:rPr>
          <w:vertAlign w:val="superscript"/>
        </w:rPr>
        <w:t>2</w:t>
      </w:r>
      <w:r>
        <w:t> pantā ir ietverts regulējums, kādā tiek paziņots par apdrošināšanas līguma izbeigšanos pirms tajā noteiktā darbības termiņa, ja iestājas OCTA likuma 10. pantā minētie gadījumi. Šādos gadījumos varētu uzskatīt, ka persona objektīvi var nebūt informēta par precīzu līguma izbeigšanās brīdi.</w:t>
      </w:r>
    </w:p>
    <w:p w14:paraId="364578E2" w14:textId="6BF39D46" w:rsidR="00293523" w:rsidRDefault="00737554">
      <w:pPr>
        <w:spacing w:before="240" w:after="240"/>
        <w:ind w:firstLine="706"/>
      </w:pPr>
      <w:r>
        <w:t>Finanšu ministrija</w:t>
      </w:r>
      <w:r>
        <w:t xml:space="preserve"> </w:t>
      </w:r>
      <w:r w:rsidR="00000000">
        <w:t xml:space="preserve">uzskata, ka persona, lai, atgādinātu sev par nepieciešamību noslēgt jaunu OCTA līgumu var izmantot tos pašus rīkus, ko tā izmanto, lai atgādinātu sev par citiem ikdienas pienākumiem (piemēram, ieraksts savā plānotājā papīra vai elektroniskā formā, </w:t>
      </w:r>
      <w:proofErr w:type="spellStart"/>
      <w:r w:rsidR="00000000">
        <w:t>viedierīces</w:t>
      </w:r>
      <w:proofErr w:type="spellEnd"/>
      <w:r w:rsidR="00000000">
        <w:t xml:space="preserve"> laika plānošanas lietotnē).</w:t>
      </w:r>
    </w:p>
    <w:p w14:paraId="223B50FE" w14:textId="77777777" w:rsidR="00293523" w:rsidRDefault="00000000">
      <w:pPr>
        <w:spacing w:before="240" w:after="240"/>
        <w:ind w:firstLine="706"/>
      </w:pPr>
      <w:r>
        <w:t>Papildus norādām, ka atbilstoši OCTA likuma 9. panta ceturtajai daļai apdrošināšanas līgums stājas spēkā tā noslēgšanas brīdī vai apdrošināšanas līgumā noteiktajā laikā, bet ne vēlāk kā triju mēnešu laikā pēc tā noslēgšanas. Tādējādi jaunu OCTA līgumu persona var noslēgt jau vismaz mēnesi iepriekš.</w:t>
      </w:r>
    </w:p>
    <w:p w14:paraId="589EE069" w14:textId="77777777" w:rsidR="00293523" w:rsidRDefault="00000000">
      <w:pPr>
        <w:spacing w:before="240" w:after="240"/>
        <w:ind w:firstLine="706"/>
      </w:pPr>
      <w:r>
        <w:t>Vēršam uzmanību, ka atbilstoši Eiropas Parlamenta un Padomes 2016. gada 27. aprīļa Regulas (ES) 2016/679 par fizisku personu aizsardzību attiecībā uz personas datu apstrādi un šādu datu brīvu apriti un ar ko atceļ Direktīvu 95/46/EK (Vispārīgā datu aizsardzības regula) (turpmāk – Datu regula) 6. panta 1. punktam apstrāde ir likumīga tikai tādā apmērā un tikai tad, ja ir piemērojams vismaz viens no šajā pantā minētajiem pamatojumiem.</w:t>
      </w:r>
    </w:p>
    <w:p w14:paraId="62140890" w14:textId="77777777" w:rsidR="00293523" w:rsidRDefault="00000000">
      <w:pPr>
        <w:spacing w:before="240" w:after="240"/>
        <w:ind w:firstLine="706"/>
      </w:pPr>
      <w:r>
        <w:t>OCTA likuma 9.</w:t>
      </w:r>
      <w:r>
        <w:rPr>
          <w:vertAlign w:val="superscript"/>
        </w:rPr>
        <w:t>2</w:t>
      </w:r>
      <w:r>
        <w:t> panta pirmā daļa jau šobrīd noteic, ka LTAB apstrādā īpašnieka vai — transportlīdzekļa līzinga gadījumā — transportlīdzekļa reģistrācijas apliecībā norādītā transportlīdzekļa turētāja un apdrošinājuma ņēmēja elektroniskā pasta adresi vai mobilā tālruņa numuru. Tomēr šīs apstrādes nolūks ir paziņošana par apdrošināšanas līguma izbeigšanos pirms termiņa un neizmantotās apdrošināšanas prēmijas vai tās daļas atmaksu. </w:t>
      </w:r>
    </w:p>
    <w:p w14:paraId="35997626" w14:textId="77777777" w:rsidR="00293523" w:rsidRDefault="00000000">
      <w:pPr>
        <w:spacing w:before="240" w:after="240"/>
        <w:ind w:firstLine="706"/>
      </w:pPr>
      <w:r>
        <w:t>Fizisko personu datu apstrādes likuma 25. panta trešā daļa noteic, ka datu apstrādē tiek ievēroti Datu regulas 5. pantā noteiktie datu apstrādes principi, arī tie, kuri noteic, ka dati iegūstami konkrētos, skaidros un leģitīmos nolūkos un tikai tādā apmērā, kāds nepieciešams datu apstrādes nolūku sasniegšanai. Datu apstrāde citā nolūkā, nevis tajā nolūkā, kādā dati tika sākotnēji iegūti, ir atļauta, ja šāda datu apstrāde nav aizliegta un ir kāds no Datu regulā noteiktajiem datu apstrādes pamatiem vai datu apstrāde atbilstoši Datu regulai ir savietojama ar sākotnējiem nolūkiem.</w:t>
      </w:r>
    </w:p>
    <w:p w14:paraId="5B56509E" w14:textId="00F311D7" w:rsidR="00293523" w:rsidRDefault="00737554">
      <w:pPr>
        <w:spacing w:before="240" w:after="240"/>
        <w:ind w:firstLine="706"/>
      </w:pPr>
      <w:r>
        <w:t>Finanšu ministrija</w:t>
      </w:r>
      <w:r w:rsidR="00000000">
        <w:t xml:space="preserve"> uzskata, ka attiecībā uz LTAB ierosināto datu apstrādi nepastāv Datu regulas 6. pantā minētie apstrādes pamati (izņemot iespēju saņemt Datu </w:t>
      </w:r>
      <w:r w:rsidR="00000000">
        <w:lastRenderedPageBreak/>
        <w:t xml:space="preserve">regulas 6. panta 1. punktam “a)” apakšpunktā minēto datu subjekts piekrišanu) un atbilstoši Datu regulai tā nav savietojama ar sākotnējo nolūku. Papildus </w:t>
      </w:r>
      <w:r>
        <w:t>Finanšu ministrija</w:t>
      </w:r>
      <w:r w:rsidR="00000000">
        <w:t xml:space="preserve"> uzskata, ka minēto datu apstrādi jau šobrīd ir iespējams veikt, ja datu subjekts ir devis Datu regulas 6. panta 1. punktam “a)” apakšpunktā minēto piekrišanu savu personas datu apstrādei šādam nolūkam.</w:t>
      </w:r>
    </w:p>
    <w:p w14:paraId="195F9BD0" w14:textId="05E167A2" w:rsidR="00293523" w:rsidRDefault="00000000">
      <w:pPr>
        <w:spacing w:before="240" w:after="240"/>
        <w:ind w:firstLine="706"/>
      </w:pPr>
      <w:r>
        <w:t xml:space="preserve">Līdz ar to </w:t>
      </w:r>
      <w:r w:rsidR="00737554">
        <w:t xml:space="preserve">Finanšu ministrija </w:t>
      </w:r>
      <w:r>
        <w:t>neatbalsta minēto LTAB ierosinājumu</w:t>
      </w:r>
      <w:r w:rsidR="00BA3737">
        <w:t>.</w:t>
      </w:r>
    </w:p>
    <w:p w14:paraId="1A0B1528" w14:textId="77777777" w:rsidR="005646F0" w:rsidRDefault="005646F0">
      <w:pPr>
        <w:spacing w:before="240" w:after="240"/>
        <w:ind w:firstLine="706"/>
      </w:pPr>
    </w:p>
    <w:p w14:paraId="080FF082" w14:textId="46FC3AD8" w:rsidR="005646F0" w:rsidRDefault="005646F0">
      <w:pPr>
        <w:spacing w:before="240" w:after="240"/>
        <w:ind w:firstLine="706"/>
      </w:pPr>
      <w:r>
        <w:t>Pielikumā:</w:t>
      </w:r>
      <w:r w:rsidRPr="005646F0">
        <w:t xml:space="preserve"> Konkurences padomes 2024. gada 9. jūlija vēstule Nr. 1.7-1/702.</w:t>
      </w:r>
    </w:p>
    <w:sectPr w:rsidR="005646F0">
      <w:headerReference w:type="even" r:id="rId6"/>
      <w:headerReference w:type="default" r:id="rId7"/>
      <w:footerReference w:type="even" r:id="rId8"/>
      <w:footerReference w:type="default" r:id="rId9"/>
      <w:headerReference w:type="first" r:id="rId10"/>
      <w:footerReference w:type="first" r:id="rId11"/>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C40754" w14:textId="77777777" w:rsidR="00AF48D9" w:rsidRDefault="00AF48D9">
      <w:r>
        <w:separator/>
      </w:r>
    </w:p>
  </w:endnote>
  <w:endnote w:type="continuationSeparator" w:id="0">
    <w:p w14:paraId="4FDB9A6B" w14:textId="77777777" w:rsidR="00AF48D9" w:rsidRDefault="00AF4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FDD8A5" w14:textId="77777777" w:rsidR="00FC5D80" w:rsidRDefault="00FC5D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B7EA2B" w14:textId="728D473C" w:rsidR="00293523" w:rsidRDefault="00000000">
    <w:pPr>
      <w:jc w:val="right"/>
    </w:pPr>
    <w:r>
      <w:rPr>
        <w:sz w:val="24"/>
        <w:szCs w:val="24"/>
      </w:rPr>
      <w:fldChar w:fldCharType="begin"/>
    </w:r>
    <w:r>
      <w:rPr>
        <w:sz w:val="24"/>
        <w:szCs w:val="24"/>
      </w:rPr>
      <w:instrText>PAGE</w:instrText>
    </w:r>
    <w:r>
      <w:rPr>
        <w:sz w:val="24"/>
        <w:szCs w:val="24"/>
      </w:rPr>
      <w:fldChar w:fldCharType="separate"/>
    </w:r>
    <w:r w:rsidR="00BC1F02">
      <w:rPr>
        <w:noProof/>
        <w:sz w:val="24"/>
        <w:szCs w:val="24"/>
      </w:rPr>
      <w:t>2</w:t>
    </w:r>
    <w:r>
      <w:rPr>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B088E" w14:textId="77777777" w:rsidR="00FC5D80" w:rsidRDefault="00FC5D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4EE49B" w14:textId="77777777" w:rsidR="00AF48D9" w:rsidRDefault="00AF48D9">
      <w:r>
        <w:separator/>
      </w:r>
    </w:p>
  </w:footnote>
  <w:footnote w:type="continuationSeparator" w:id="0">
    <w:p w14:paraId="052240AC" w14:textId="77777777" w:rsidR="00AF48D9" w:rsidRDefault="00AF4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887262" w14:textId="77777777" w:rsidR="00BC1F02" w:rsidRDefault="00BC1F0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3C76A" w14:textId="6911ED39" w:rsidR="00000000" w:rsidRDefault="00000000">
    <w:r>
      <w:cr/>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FB61B" w14:textId="60F66F1F" w:rsidR="00000000" w:rsidRDefault="00000000">
    <w:r>
      <w:c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523"/>
    <w:rsid w:val="00032FEB"/>
    <w:rsid w:val="000D0AA0"/>
    <w:rsid w:val="001940CF"/>
    <w:rsid w:val="00293523"/>
    <w:rsid w:val="002D6295"/>
    <w:rsid w:val="00337804"/>
    <w:rsid w:val="003D2ADF"/>
    <w:rsid w:val="004614C2"/>
    <w:rsid w:val="005646F0"/>
    <w:rsid w:val="006E6936"/>
    <w:rsid w:val="00737554"/>
    <w:rsid w:val="00823B19"/>
    <w:rsid w:val="00AF48D9"/>
    <w:rsid w:val="00BA3737"/>
    <w:rsid w:val="00BC1F02"/>
    <w:rsid w:val="00D43AE8"/>
    <w:rsid w:val="00D874B5"/>
    <w:rsid w:val="00FC5D80"/>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22BD1"/>
  <w15:docId w15:val="{3E0C5026-8036-7146-9A7E-1358A8286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color w:val="333333"/>
        <w:sz w:val="28"/>
        <w:lang w:val="lv-LV" w:eastAsia="en-GB"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sz w:val="24"/>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sz w:val="24"/>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rPr>
  </w:style>
  <w:style w:type="paragraph" w:customStyle="1" w:styleId="paragraph">
    <w:name w:val="paragraph"/>
    <w:basedOn w:val="Normal"/>
    <w:next w:val="Normal"/>
    <w:pPr>
      <w:contextualSpacing/>
    </w:pPr>
  </w:style>
  <w:style w:type="paragraph" w:customStyle="1" w:styleId="paragraphheader">
    <w:name w:val="paragraph_header"/>
    <w:basedOn w:val="Normal"/>
    <w:next w:val="Normal"/>
    <w:pPr>
      <w:spacing w:before="280" w:after="280"/>
      <w:contextualSpacing/>
    </w:pPr>
  </w:style>
  <w:style w:type="paragraph" w:styleId="Header">
    <w:name w:val="header"/>
    <w:basedOn w:val="Normal"/>
    <w:next w:val="Normal"/>
    <w:pPr>
      <w:spacing w:after="280"/>
      <w:contextualSpacing/>
      <w:jc w:val="right"/>
    </w:pPr>
    <w:rPr>
      <w:sz w:val="24"/>
    </w:rPr>
  </w:style>
  <w:style w:type="paragraph" w:customStyle="1" w:styleId="signeddocumentparagraph">
    <w:name w:val="signed_document_paragraph"/>
    <w:basedOn w:val="Normal"/>
    <w:next w:val="Normal"/>
    <w:pPr>
      <w:contextualSpacing/>
      <w:jc w:val="right"/>
    </w:pPr>
    <w:rPr>
      <w:sz w:val="24"/>
    </w:rPr>
  </w:style>
  <w:style w:type="paragraph" w:customStyle="1" w:styleId="annexparagraph">
    <w:name w:val="annex_paragraph"/>
    <w:basedOn w:val="Normal"/>
    <w:next w:val="Normal"/>
    <w:pPr>
      <w:spacing w:before="560"/>
      <w:ind w:left="1290" w:hanging="1290"/>
      <w:contextualSpacing/>
      <w:jc w:val="left"/>
    </w:pPr>
  </w:style>
  <w:style w:type="paragraph" w:customStyle="1" w:styleId="contactinfoparagraph">
    <w:name w:val="contact_info_paragraph"/>
    <w:basedOn w:val="Normal"/>
    <w:next w:val="Normal"/>
    <w:pPr>
      <w:contextualSpacing/>
      <w:jc w:val="center"/>
    </w:pPr>
    <w:rPr>
      <w:sz w:val="17"/>
    </w:rPr>
  </w:style>
  <w:style w:type="paragraph" w:customStyle="1" w:styleId="horizonallineparagraph">
    <w:name w:val="horizonal_line_paragraph"/>
    <w:basedOn w:val="Normal"/>
    <w:next w:val="Normal"/>
    <w:pPr>
      <w:contextualSpacing/>
      <w:jc w:val="center"/>
    </w:pPr>
    <w:rPr>
      <w:sz w:val="20"/>
    </w:rPr>
  </w:style>
  <w:style w:type="table" w:customStyle="1" w:styleId="a">
    <w:basedOn w:val="TableNormal"/>
    <w:tblPr>
      <w:tblStyleRowBandSize w:val="1"/>
      <w:tblStyleColBandSize w:val="1"/>
    </w:tblPr>
  </w:style>
  <w:style w:type="paragraph" w:styleId="Footer">
    <w:name w:val="footer"/>
    <w:basedOn w:val="Normal"/>
    <w:link w:val="FooterChar"/>
    <w:uiPriority w:val="99"/>
    <w:unhideWhenUsed/>
    <w:rsid w:val="00BC1F02"/>
    <w:pPr>
      <w:tabs>
        <w:tab w:val="center" w:pos="4513"/>
        <w:tab w:val="right" w:pos="9026"/>
      </w:tabs>
    </w:pPr>
  </w:style>
  <w:style w:type="character" w:customStyle="1" w:styleId="FooterChar">
    <w:name w:val="Footer Char"/>
    <w:basedOn w:val="DefaultParagraphFont"/>
    <w:link w:val="Footer"/>
    <w:uiPriority w:val="99"/>
    <w:rsid w:val="00BC1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5798</Words>
  <Characters>33050</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mk_vēstules_projekts_24-TA-1992.docx</vt:lpstr>
    </vt:vector>
  </TitlesOfParts>
  <Company/>
  <LinksUpToDate>false</LinksUpToDate>
  <CharactersWithSpaces>38771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mk_vēstules_projekts_24-TA-1992.docx</dc:title>
  <cp:lastModifiedBy>Inese Albova</cp:lastModifiedBy>
  <cp:revision>2</cp:revision>
  <dcterms:created xsi:type="dcterms:W3CDTF">2024-09-26T13:25:00Z</dcterms:created>
  <dcterms:modified xsi:type="dcterms:W3CDTF">2024-09-26T13:25:00Z</dcterms:modified>
</cp:coreProperties>
</file>