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22-TA-1355: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Civilās aizsardzības un katastrofas pārvaldīšanas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anotācijā ir minēts, ka no valsts puses šūnu apraides tehnoloģiju ieviešanai paredzēts organizēt iepirkumu procesu, skaidrojam, ka, lai valsts iestāde/finansējuma saņēmējs veicot iepirkumu, izslēgtu komercdarbības atbalstu konkrētam preču vai pakalpojumu sniedzējam, tai jārīkojas kā tirgus ekonomikas dalībniekiem, proti, darījumam ir jāatbilst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izslēgtu ekonomiskās priekšrocības preču vai pakalpojumu sniedzējiem, tādējādi novēršot tiem komercdarbības atbalsta piešķiršanu, tie būtu jāizraugās atklātā, pārredzamā, nediskriminējošā un konkurenci nodrošinošā procedūrā. Procedūrai ir jābūt konkurenci nodrošinošai, lai procesā varētu piedalīties visi ieinteresētie un nosacījumiem atbilstīgie preču/pakalpojuma sniedzēji, kā arī procedūrai ir jābūt pārredzamai, lai nodrošinātu, ka visi ieinteresētie preču/pakalpojuma sniedzēji katrā konkursa procedūras posmā ir vienādi un pienācīgi informēti. Iepirkuma procedūrai jābūt pietiekami plaši publiskotai, lai par to varētu uzzināt potenciālie piedāvājumu iesniedzēji. Nepieciešamie priekšnosacījumi ir nediskriminējoša attieksme pret visiem piedāvājumu iesniedzējiem visos procedūras posmos un objektīvu atlases un līgumslēgšanas kritēriju noteikšana pirms procedūras. Lai garantētu vienlīdzīgu attieksmi, līgumslēgšanas kritērijiem būtu jābūt tādiem, kas dod iespēju objektīvi salīdzināt un novērtēt piedāvājumus. Skaidrojam, ka preču/pakalpojumu iegāde no komersantiem, neievērojot atklātu, pārredzamu, nediskriminējošu un konkurenci nodrošinošu procedūru, var kvalificēties kā komercdarbības atbalsts tiem un tad tas var tikt piešķirts, tikai ievērojot attiecīgo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preču/pakalpojumu sniedzēju līmenī netiek sniegts komercdarbības atbalsts, lūdzam papildināt anotāciju ar nosacījumu, ka īstenojot projektu, valsts iestāde/finansējuma saņēmējs izvēlas preču/pakalpojuma sniedzējus īstenojot atklātu, pārredzamu, nediskriminējošu un konkurenci nodrošinošu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“1.3. Pašreizējā situācija, problēmas un risinājumi”, zem sadaļas “Risinājuma apraksts” papildināta ar sekojošu redakciju: “Iekšlietu ministrijas Informācijas centrs, izvēloties komersantus, kuri piegādās un uzstādīs šūnu apraides tehnoloģiju, īstenos atklātu, pārredzamu, nediskriminējošu un konkurenci nodrošinošu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Šūnu apraides tehnoloģiju ieviešana ir saistīta tikai ar valsts pārvaldes funkcijas īstenošanu - sabiedrības drošības pasākumu nodrošināšanu. Šūnu apraides tehnoloģija tiks  izmantota tikai valsts pārvaldes iestādes funkcijas īstenošanai. Tā nerada nekādu ekonomisko priekšrocību mobilo sakaru operatoru saimnieciskajai darbībai. Līdz ar to var tikt uzskatīts, ka neizpildās Komercdarbības atbalsta kontroles likuma 5.panta 2.punktā noteiktā komercdarbības atbalstu raksturojošā pazīme un tādējādi pasākuma ietvaros komercdarbības atbalsts mobilo sakaru operatoriem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pārvaldes uzdevumu -  agrīno brīdināšanu, veiks Valsts ugunsdzēsības un glābšanas dienests. Lai nodrošinātu šūnu apraides tehnoloģijas darbību, nepieciešams iesaistīt un izmantot elektronisko sakaru komersantu (mobilo sakaru operatoru) infrastruktūru, kuri nodrošina publisko mobilo elektronisko sakaru tīklu, lai varētu nodrošināt šūnu apraides tehnoloģijas iekārtu un esošo elektronisko sakaru tīklu savietojamību un sadarbspēju ar valsts agrīnās brīdināšanas sistēmu, lai īstenotu iedzīvotāju un atbildīgo institūciju agrīno brīdināšanu. Savukārt, galveno iekārtu, lai nodrošinātu šūnu apraidi, plāno pirkt Iekšlietu ministrijas Informācijas centrs. Līdz ar to attiecīgajā gadījumā elektronisko sakaru komersantiem, kas nodrošina publisko mobilo elektronisko sakaru tīklu, netiek deleģēta valsts funkcija.”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tiešos izdevumus, kuri prognozējami radīsies mobilo sakaru operatoru pusē šūnu apraides tehnoloģiju ieviešanas procesā, paredzēts segt no šūnu apraides tehnoloģiju ieviešanai piešķirtajiem publiskajiem finanšu līdzekļiem, ja tie atbildīs noteiktajiem attiecināmības nosacījumiem, lūdzam sniegt izvērtējumu, vai šo izmaksu segšana atbilst visām Komercdarbības atbalsta kontroles likuma (turpmāk – KAKL) 5.pantā noteiktajām komercdarbības atbalstu raksturojošām pazīmēm un tādējādi kvalificēsies kā komercdarbības atbalsts mobilo sakaru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gadījumā, ja šūnu apraides tehnoloģiju ieviešana ir saistīta tikai ar valsts pārvaldes funkcijas īstenošanu, kas saistīta, piemēram, ar sabiedrības drošības pasākumu īstenošanu, un nerada nekādu ekonomisko priekšrocību mobilo sakaru operatoru saimnieciskajai darbībai, var tikt uzskatīts, ka neizpildās KAKL 5. panta 2. punktā noteiktā komercdarbības atbalstu raksturojošā pazīme un tādējādi pasākuma ietvaros komercdarbības atbalsts mobilo sakaru operatoriem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2021.gada 16.novembra rīkojumam Nr.841 “Par Eiropas Savienības kohēzijas politikas programmu 2021.–2027. gadam darbības programmas 2.1.3.specifiskā atbalsta mērķa “Veicināt pielāgošanos klimata pārmaiņām, risku novēršanu un noturību pret katastrofām” ietvaros ir paredzēts, ka atbalsts nav plānots peļņu gūstošiem vai saimnieciska rakstura projektiem, bet valsts, pašvaldību pakalpojumu efektivitātes uzlabošanai, kas dod pienesumu klimatnoturības pasākumiem. Ievērojot minēto, gadījumā, ja ir plānota komercdarbības atbalsta piešķiršana, nepieciešams pārliecināties, ka attiecīgā specifiskā atbalsta mērķa darbības programma, no kuras paredzēts finansēt izmaksas, pieļauj komercdarbības atbalsta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rīkojuma projekta anotāciju ar skaidrojumu, kādēļ plānotos pakalpojumus var nodrošināt tikai mobilo sakaru sniedzēji, nevis jebkurš sakaru pakalpojumu sniedzējs un vai šie plānotie pakalpojumi tiks sniegti deleģētās valsts funkcijas ietvaros, ko nodrošinās mobilo sakaru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“1.3. Pašreizējā situācija, problēmas un risinājumi”, zem sadaļas “Risinājuma apraksts” papildināta ar sekojošu redakciju: “Iekšlietu ministrijas Informācijas centrs, izvēloties komersantus, kuri piegādās un uzstādīs šūnu apraides tehnoloģiju, īstenos atklātu, pārredzamu, nediskriminējošu un konkurenci nodrošinošu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Šūnu apraides tehnoloģiju ieviešana ir saistīta tikai ar valsts pārvaldes funkcijas īstenošanu - sabiedrības drošības pasākumu nodrošināšanu. Šūnu apraides tehnoloģija tiks  izmantota tikai valsts pārvaldes iestādes funkcijas īstenošanai. Tā nerada nekādu ekonomisko priekšrocību mobilo sakaru operatoru saimnieciskajai darbībai. Līdz ar to var tikt uzskatīts, ka neizpildās Komercdarbības atbalsta kontroles likuma 5.panta 2.punktā noteiktā komercdarbības atbalstu raksturojošā pazīme un tādējādi pasākuma ietvaros komercdarbības atbalsts mobilo sakaru operatoriem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pārvaldes uzdevumu -  agrīno brīdināšanu, veiks Valsts ugunsdzēsības un glābšanas dienests. Lai nodrošinātu šūnu apraides tehnoloģijas darbību, nepieciešams iesaistīt un izmantot elektronisko sakaru komersantu (mobilo sakaru operatoru) infrastruktūru, kuri nodrošina publisko mobilo elektronisko sakaru tīklu, lai varētu nodrošināt šūnu apraides tehnoloģijas iekārtu un esošo elektronisko sakaru tīklu savietojamību un sadarbspēju ar valsts agrīnās brīdināšanas sistēmu, lai īstenotu iedzīvotāju un atbildīgo institūciju agrīno brīdināšanu. Savukārt, galveno iekārtu, lai nodrošinātu šūnu apraidi, plāno pirkt Iekšlietu ministrijas Informācijas centrs. Līdz ar to attiecīgajā gadījumā elektronisko sakaru komersantiem, kas nodrošina publisko mobilo elektronisko sakaru tīklu, netiek deleģēta valsts funkcija.”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"Risinājuma apraksts" norādīto Eiropas Savienības kohēzijas politikas programmas 2021.–2027.gadam (turpmāk - Programma) nosaukumu, attiecīgus precizējumus veicot arī citviet anotācijā, kur minētais dokuments nosaukts.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informācijas izsekojamībai, lūdzam papildināt anotāciju ar informāciju, ka nepieciešamais atbalsts un finansējums šūnu apraides tehnoloģiju ieviešanai plānots Programmas 2.1.3.specifiskā atbalsta mērķa “Veicināt pielāgošanos klimata pārmaiņām, risku novēršanu un noturību pret katastrofām” 2.1.1.3.pasākuma "Katastrofu risku mazināšanas pasākumi" ietvaros, t.sk. norādot arī minētajam pasākumam plānoto finansējumu. Attiecīgus precizējumus lūdzam veikt arī citviet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uzturēšanas izmaksu segšanai Eiropas Savienības fondu finansējums nevar tikt novirzīts.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anotācijā (1.3., 2.1., 2.3., apakšsadaļās un 3. sadaļā), precizēta atsauce uz Eiropas Savienības kohēzijas politikas programmas 2021.–2027.gadam, kā arī norādīts, ka nepieciešamais atbalsts un finansējums šūnu apraides tehnoloģiju ieviešanai plānots Programmas 2.1.3.specifiskā atbalsta mērķa “Veicināt pielāgošanos klimata pārmaiņām, risku novēršanu un noturību pret katastrofām” 2.1.1.3.pasākuma “Katastrofu risku mazināšanas pasākumi” ietvaros, un norādīta minētā pasākuma plānotais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"Grozījums Civilās aizsardzības un katastrofas pārvaldīšanas likumā" sākotnējās ietekmes (ex-ante) novērtējuma ziņojums (turpmāk - anotācija) 4.1. apakšsadaļu "Saistītie tiesību aktu projekti", iekļaujot korektu atsauci uz Elektronisko sakaru likuma (stājas spēkā 2022. gada 29. jūlijā) normu, proti, 19. panta otrās daļas 17. punktu un koriģējot tekstu, ņemot vērā, ka Elektronisko sakaru likums stājas spēkā 2022. gada 29. jūlijā (anotācijā, norādīts, ka tas ir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novērst pretrunu šajā anotācijas apakšsadaļā, jo vienā rindkopā projekta autori raksta, ka: "Veicot Civilās aizsardzības un katastrofas pārvaldīšanas likuma grozījumus, tiks sagatavoti grozījumi Ministru kabineta 2017. gada 8. augusta noteikumos Nr.440 "Valsts agrīnās brīdināšanas sistēmas izveidošanas, darbības un finansēšanas kārtība"", savukārt turpmākajā tekstā attiecībā uz turpmāko rīcību paredzēts, ka: "Tiks izstrādāti jauni Ministru kabineta noteikumi, nosakot Valsts agrīnās brīdināšanas sistēmas izveidošanas, darbības un finansēšanas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“4.1. Saistītie tiesību aktu projekti” precizēta ar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Ministru kabineta 2017.gada 8.augusta noteikumos Nr.440 “Valsts agrīnās brīdināšanas sistēmas izveidošanas, darbības un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jauni Ministru kabineta noteikumi, nosakot valsts agrīnās brīdināšanas sistēmas izveidošanas, darbības un finansēšanas kārtību, tajā skaitā to, ka valsts agrīnās brīdināšanas sistēmā ir iekļauta šūnas apraides tehnoloģija, nosakot tās aktivizēšanu un darbību, kā arī precizējot mobilo sakaru operatoru, Iekšlietu ministrijas Informācijas centra un Valsts ugunsdzēsības un glābšanas dienesta pienākumus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anotācijā norādīto, ka šūnu apraides tehnoloģiju uzturēšanai indikatīvi būs nepieciešams papildu finansējums 507 500 euro apmērā ikgadam, lūdzam aizpildīt anotācijas 3. sadaļu, tajā iekļaujot informāciju, no kura gada būs nepieciešams papildu finansējums šūnu apraides tehnoloģiju uzturēšanai un kā ir plānots nodrošināt finansējumu uzturēšanas izdevumiem, pamatojot tos ar detalizētiem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“3. Tiesību akta projekta ietekme uz valsts budžetu un pašvaldību budžetiem” zem “Cita informācija” papildināta ar sekojošu redakciju: “Šūnu apraides tehnoloģijas ikgadējai uzturēšanai finansējumu paredzēts pieprasīts Ministru kabinetam normatīvajos aktos noteiktajā kārtībā pēc šūnu apraides tehnoloģijas ieviešanas un darbības palaišanas, un tās uzturēšanai finansējumu paredzēts pieprasīt kā Iekšlietu ministrijas Informācijas centra budžeta palielinājums (bāzes finansējums),  un indikatīvi to paredzēts pieprasīt sākot ar 2024.gadu un turpmākos gadus. Šūnu apraides tehnoloģijas provizoriskās izmaksas paredzēts aktualizēt pēc tās ieviešanas, bet attiecīgie uzturēšanas izdevumi ir saistīti ar sekojošām darbībām - brīdinājumu vadības risinājuma (CBE) un ziņu piegādes risinājuma (CBC) programmatūras un lietotāju atbalsta nodrošinājums, pārraides drošības un programmu atjauninājumi, izmaiņu pieprasījumi, sistēmas darbības problēmu novēršana, integrēšana, uzturēšana, administrēšana un funkcionalitātes nodrošināšana, informācijas un komunikācijas tehnoloģiju darbināšana datu centros, informācijas un komunikācijas tehnoloģiju infrastruktūras un serveru programmatūras administrēšana, atjauninājumi u.c.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Elektronisko sakaru komersanta pienākumi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sakaru komersants, kas nodrošina publisko mobilo elektronisko sakaru tīklu, nodrošina savu elektronisko sakaru tīklu savietojamību un sadarbspēju ar valsts agrīnās brīdināšanas sistēmu, lai īstenotu iedzīvotāju un atbildīgo institūciju agrīno brīdināšanu, izmantojot šūnu apraides tehnoloģiju. Elektronisko sakaru komersants, kas nodrošina publisko mobilo elektronisko sakaru tīklu, iedzīvotāju agrīnās brīdināšanas paziņojuma pārraidi, izmantojot šūnu apraides tehnoloģiju, īsteno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likumprojektu, ņemot vērā, ka panta daļa nav dalāma punktos, ja ir tikai viens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izteikts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12.pantu ar 1.1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Elektronisko sakaru komersants, kas nodrošina publisko mobilo elektronisko sakaru tīklu, nodrošina savu elektronisko sakaru tīklu savietojamību un sadarbspēju ar valsts agrīnās brīdināšanas sistēmu, lai īstenotu iedzīvotāju un atbildīgo institūciju agrīno brīdināšanu, izmantojot šūnu apraides tehnoloģiju. Elektronisko sakaru komersants, kas nodrošina publisko mobilo elektronisko sakaru tīklu, iedzīvotāju agrīnās brīdināšanas paziņojuma pārraidi, izmantojot šūnu apraides tehnoloģiju, īsteno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Elektronisko sakaru komersants, kas nodrošina publisko mobilo elektronisko sakaru tīklu, nodrošina savu elektronisko sakaru tīklu savietojamību un sadarbspēju ar valsts agrīnās brīdināšanas sistēmu, lai īstenotu iedzīvotāju un atbildīgo institūciju agrīno brīdināšanu, izmantojot šūnu apraides tehnoloģiju. Elektronisko sakaru komersants, kas nodrošina publisko mobilo elektronisko sakaru tīklu, iedzīvotāju agrīnās brīdināšanas paziņojuma pārraidi, izmantojot šūnu apraides tehnoloģiju, īsteno bez 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Elektronisko sakaru komersanta pienākumi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sakaru komersants, kas nodrošina publisko mobilo elektronisko sakaru tīklu, nodrošina savu elektronisko sakaru tīklu savietojamību un sadarbspēju ar valsts agrīnās brīdināšanas sistēmu, lai īstenotu iedzīvotāju un atbildīgo institūciju agrīno brīdināšanu, izmantojot šūnu apraides tehnoloģiju. Elektronisko sakaru komersants, kas nodrošina publisko mobilo elektronisko sakaru tīklu, iedzīvotāju agrīnās brīdināšanas paziņojuma pārraidi, izmantojot šūnu apraides tehnoloģiju, īsteno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"Grozījums Civilās aizsardzības un katastrofas pārvaldīšanas likumā" (turpmāk - projekts) 1.pantu, ņemot vērā juridiskās tehnikas prasības, proti, neizdalīt vienu apakšvienību.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Elektronisko sakaru komersants, kas nodrošina publisko mobilo elektronisko sakaru tīklu, nodrošina savu elektronisko sakaru tīklu savietojamību un sadarbspēju ar valsts agrīnās brīdināšanas sistēmu, lai īstenotu iedzīvotāju un atbildīgo institūciju agrīno brīdināšanu, izmantojot šūnu apraides tehnoloģiju. Elektronisko sakaru komersants, kas nodrošina publisko mobilo elektronisko sakaru tīklu, iedzīvotāju agrīnās brīdināšanas paziņojuma pārraidi, izmantojot šūnu apraides tehnoloģiju, īsteno bez 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tabulas "Tiesību aktu projekta atbilstība ES tiesību aktiem" B kolonnas attiecīgo aili, iekļaujot tajā korektu projekta vienību, ar kuru pārņem vai ievieš ES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1.tabula. Tiesību akta projekta atbilstība ES tiesību aktiem” tabulas B kolonnas attiecīgā ailē iekļauta precizēta projekta vienība, ar kuru pārņem vai ievieš ES tiesību aktu: “Likumprojekta 12.panta (11)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sākotnējās ietekmes novērtējuma ziņojuma (turpmāk - anotācija) 4.1. sadaļā iekļauto informāciju, jo no tās nav skaidrs, kādēļ ir jāizstrādā jauni Ministru kabineta noteikumi, nosakot valsts agrīnās brīdināšanas sistēmas izveidošanas, darbības un finansēšanas kārtību, jo projekta normā nav jauna deleģējuma Ministru kabinetam izstrādāt noteikumus saistībā ar agrīnās brīdināšanas sistēmu. Lūdzam projekta autorus izvērtēt, vai projekta panta dēļ Ministru kabineta 2017. gada 8. augusta noteikumos Nr. 440 "Valsts agrīnās brīdināšanas sistēmas izveidošanas, darbības un finansēšanas kārtība" būs tik apjomīgi grozījumi, lai noteikumi būtu jāizdod no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4.1. sadaļu, ņemot vērā juridiskās tehnikas prasības, proti, neveidot vienu apakšvienību.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(turpmāk - anotācija) 4.1. sadaļā "Pamatojums un apraksts" iekļautā informācija precizēta sekojošā redakcijā: "Tiks izstrādāti grozījumi Ministru kabineta noteikumos (vai arī jauni Ministru kabineta noteikumi, ja tā normu apjoms pārsniegs pusi no spēkā esošo noteikumu normu apjoma), kurā tiks noteikts, ka valsts agrīnās brīdināšanas sistēmā ir iekļauta šūnas apraides tehnoloģija, nosakot tās aktivizēšanu un darbību, kā arī precizējot mobilo sakaru operatoru, Iekšlietu ministrijas Informācijas centra un Valsts ugunsdzēsības un glābšanas dienesta pienākumus attiecīgajā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pie "Cita informācija" iekļauto teikumu par uzturēšanas izdevumiem - "</w:t>
            </w:r>
            <w:r w:rsidR="00000000" w:rsidRPr="00000000" w:rsidDel="00000000">
              <w:rPr>
                <w:i w:val="1"/>
                <w:rtl w:val="0"/>
              </w:rPr>
              <w:t xml:space="preserve">Šūnu apraides tehnoloģijas ikgadējai uzturēšanai finansējumu paredzēts pieprasīts Ministru kabinetam normatīvajos aktos noteiktajā kārtībā pēc šūnu apraides tehnoloģijas ieviešanas un darbības palaišanas, un tās uzturēšanai finansējumu paredzēts pieprasīt kā Iekšlietu ministrijas Informācijas centra budžeta palielinājums (bāzes finansējums),  un indikatīvi to paredzēts pieprasīt sākot ar 2024.gadu un turpmākos gadus.</w:t>
            </w:r>
            <w:r w:rsidR="00000000" w:rsidRPr="00000000" w:rsidDel="00000000">
              <w:rPr>
                <w:rtl w:val="0"/>
              </w:rPr>
              <w:t xml:space="preserve">" - precizēt un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Šūnu apraides tehnoloģijas ikgadējai uzturēšanai Iekšlietu ministrijas Informācijas centram nepieciešamo finansējumu paredzēts pieprasīt normatīvajos aktos noteiktajā kārtībā pēc šūnu apraides tehnoloģijas ieviešanas un darbības palaišanas, indikatīvi sākot ar 2024.gadu un turpmākos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3. sadaļā pie "Cita informācija" teikums par uzturēšanas izdevumiem - "Šūnu apraides tehnoloģijas ikgadējai uzturēšanai finansējumu paredzēts pieprasīts Ministru kabinetam normatīvajos aktos noteiktajā kārtībā pēc šūnu apraides tehnoloģijas ieviešanas un darbības palaišanas, un tās uzturēšanai finansējumu paredzēts pieprasīt kā Iekšlietu ministrijas Informācijas centra budžeta palielinājums (bāzes finansējums),  un indikatīvi to paredzēts pieprasīt sākot ar 2024.gadu un turpmākos gadus." - precizēts un izteikts sekojošā redakcijā: "Šūnu apraides tehnoloģijas ikgadējai uzturēšanai Iekšlietu ministrijas Informācijas centram nepieciešamo finansējumu paredzēts pieprasīt normatīvajos aktos noteiktajā kārtībā pēc šūnu apraides tehnoloģijas ieviešanas un darbības palaišanas, indikatīvi sākot ar 2024.gadu un turpmākos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22-TA-1355</w:t>
    </w:r>
    <w:r>
      <w:br/>
    </w:r>
    <w:r w:rsidR="00000000" w:rsidRPr="00000000" w:rsidDel="00000000">
      <w:rPr>
        <w:rtl w:val="0"/>
      </w:rPr>
      <w:t xml:space="preserve">09.11.2022. 11.26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22-TA-1355</w:t>
    </w:r>
    <w:r>
      <w:br/>
    </w:r>
    <w:r w:rsidR="00000000" w:rsidRPr="00000000" w:rsidDel="00000000">
      <w:rPr>
        <w:rtl w:val="0"/>
      </w:rPr>
      <w:t xml:space="preserve">09.11.2022. 11.26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Izziņa_22-TA-1355.docx</dc:title>
</cp:coreProperties>
</file>

<file path=docProps/custom.xml><?xml version="1.0" encoding="utf-8"?>
<Properties xmlns="http://schemas.openxmlformats.org/officeDocument/2006/custom-properties" xmlns:vt="http://schemas.openxmlformats.org/officeDocument/2006/docPropsVTypes"/>
</file>