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4EE4A" w14:textId="77777777" w:rsidR="00D25C1D" w:rsidRPr="00D25C1D" w:rsidRDefault="00D25C1D" w:rsidP="00D25C1D">
      <w:pPr>
        <w:textAlignment w:val="baseline"/>
        <w:rPr>
          <w:rFonts w:ascii="Calibri" w:eastAsia="Times New Roman" w:hAnsi="Calibri" w:cs="Calibri"/>
          <w:color w:val="000000"/>
          <w:sz w:val="22"/>
          <w:szCs w:val="22"/>
          <w:lang w:val="en-LV" w:eastAsia="en-GB"/>
        </w:rPr>
      </w:pPr>
    </w:p>
    <w:p w14:paraId="579660E0" w14:textId="77777777" w:rsidR="00D25C1D" w:rsidRPr="00D25C1D" w:rsidRDefault="0089225F" w:rsidP="00D25C1D">
      <w:pPr>
        <w:rPr>
          <w:rFonts w:ascii="Times New Roman" w:eastAsia="Times New Roman" w:hAnsi="Times New Roman" w:cs="Times New Roman"/>
          <w:lang w:val="en-LV" w:eastAsia="en-GB"/>
        </w:rPr>
      </w:pPr>
      <w:r w:rsidRPr="0089225F">
        <w:rPr>
          <w:rFonts w:ascii="Times New Roman" w:eastAsia="Times New Roman" w:hAnsi="Times New Roman" w:cs="Times New Roman"/>
          <w:noProof/>
          <w:lang w:val="en-LV" w:eastAsia="en-GB"/>
        </w:rPr>
        <w:pict w14:anchorId="5B44F6E8">
          <v:rect id="_x0000_i1025" alt="" style="width:6.1pt;height:1.5pt;mso-width-percent:0;mso-height-percent:0;mso-width-percent:0;mso-height-percent:0" o:hrpct="0" o:hralign="center" o:hrstd="t" o:hrnoshade="t" o:hr="t" fillcolor="black" stroked="f"/>
        </w:pict>
      </w:r>
    </w:p>
    <w:p w14:paraId="3F0F62F7" w14:textId="77777777" w:rsidR="00D25C1D" w:rsidRPr="00D25C1D" w:rsidRDefault="00D25C1D" w:rsidP="00D25C1D">
      <w:pPr>
        <w:textAlignment w:val="baseline"/>
        <w:rPr>
          <w:rFonts w:ascii="Segoe UI" w:eastAsia="Times New Roman" w:hAnsi="Segoe UI" w:cs="Segoe UI"/>
          <w:color w:val="000000"/>
          <w:sz w:val="21"/>
          <w:szCs w:val="21"/>
          <w:lang w:val="en-LV" w:eastAsia="en-GB"/>
        </w:rPr>
      </w:pPr>
      <w:r w:rsidRPr="00D25C1D">
        <w:rPr>
          <w:rFonts w:ascii="Calibri" w:eastAsia="Times New Roman" w:hAnsi="Calibri" w:cs="Calibri"/>
          <w:b/>
          <w:bCs/>
          <w:color w:val="000000"/>
          <w:sz w:val="22"/>
          <w:szCs w:val="22"/>
          <w:lang w:val="en-LV" w:eastAsia="en-GB"/>
        </w:rPr>
        <w:t>No:</w:t>
      </w:r>
      <w:r w:rsidRPr="00D25C1D">
        <w:rPr>
          <w:rFonts w:ascii="Calibri" w:eastAsia="Times New Roman" w:hAnsi="Calibri" w:cs="Calibri"/>
          <w:color w:val="000000"/>
          <w:sz w:val="22"/>
          <w:szCs w:val="22"/>
          <w:lang w:val="en-LV" w:eastAsia="en-GB"/>
        </w:rPr>
        <w:t> Ilze Māliņa &lt;Ilze.Malina@TM.GOV.LV&gt;</w:t>
      </w:r>
      <w:r w:rsidRPr="00D25C1D">
        <w:rPr>
          <w:rFonts w:ascii="Calibri" w:eastAsia="Times New Roman" w:hAnsi="Calibri" w:cs="Calibri"/>
          <w:color w:val="000000"/>
          <w:sz w:val="22"/>
          <w:szCs w:val="22"/>
          <w:lang w:val="en-LV" w:eastAsia="en-GB"/>
        </w:rPr>
        <w:br/>
      </w:r>
      <w:r w:rsidRPr="00D25C1D">
        <w:rPr>
          <w:rFonts w:ascii="Calibri" w:eastAsia="Times New Roman" w:hAnsi="Calibri" w:cs="Calibri"/>
          <w:b/>
          <w:bCs/>
          <w:color w:val="000000"/>
          <w:sz w:val="22"/>
          <w:szCs w:val="22"/>
          <w:lang w:val="en-LV" w:eastAsia="en-GB"/>
        </w:rPr>
        <w:t>Nosūtīts:</w:t>
      </w:r>
      <w:r w:rsidRPr="00D25C1D">
        <w:rPr>
          <w:rFonts w:ascii="Calibri" w:eastAsia="Times New Roman" w:hAnsi="Calibri" w:cs="Calibri"/>
          <w:color w:val="000000"/>
          <w:sz w:val="22"/>
          <w:szCs w:val="22"/>
          <w:lang w:val="en-LV" w:eastAsia="en-GB"/>
        </w:rPr>
        <w:t> ceturtdiena, 2022. gada 27. oktobris 16:05</w:t>
      </w:r>
      <w:r w:rsidRPr="00D25C1D">
        <w:rPr>
          <w:rFonts w:ascii="Calibri" w:eastAsia="Times New Roman" w:hAnsi="Calibri" w:cs="Calibri"/>
          <w:color w:val="000000"/>
          <w:sz w:val="22"/>
          <w:szCs w:val="22"/>
          <w:lang w:val="en-LV" w:eastAsia="en-GB"/>
        </w:rPr>
        <w:br/>
      </w:r>
      <w:r w:rsidRPr="00D25C1D">
        <w:rPr>
          <w:rFonts w:ascii="Calibri" w:eastAsia="Times New Roman" w:hAnsi="Calibri" w:cs="Calibri"/>
          <w:b/>
          <w:bCs/>
          <w:color w:val="000000"/>
          <w:sz w:val="22"/>
          <w:szCs w:val="22"/>
          <w:lang w:val="en-LV" w:eastAsia="en-GB"/>
        </w:rPr>
        <w:t>Kam:</w:t>
      </w:r>
      <w:r w:rsidRPr="00D25C1D">
        <w:rPr>
          <w:rFonts w:ascii="Calibri" w:eastAsia="Times New Roman" w:hAnsi="Calibri" w:cs="Calibri"/>
          <w:color w:val="000000"/>
          <w:sz w:val="22"/>
          <w:szCs w:val="22"/>
          <w:lang w:val="en-LV" w:eastAsia="en-GB"/>
        </w:rPr>
        <w:t> Inese Albova &lt;inese.albova@fm.gov.lv&gt;</w:t>
      </w:r>
      <w:r w:rsidRPr="00D25C1D">
        <w:rPr>
          <w:rFonts w:ascii="Calibri" w:eastAsia="Times New Roman" w:hAnsi="Calibri" w:cs="Calibri"/>
          <w:color w:val="000000"/>
          <w:sz w:val="22"/>
          <w:szCs w:val="22"/>
          <w:lang w:val="en-LV" w:eastAsia="en-GB"/>
        </w:rPr>
        <w:br/>
      </w:r>
      <w:r w:rsidRPr="00D25C1D">
        <w:rPr>
          <w:rFonts w:ascii="Calibri" w:eastAsia="Times New Roman" w:hAnsi="Calibri" w:cs="Calibri"/>
          <w:b/>
          <w:bCs/>
          <w:color w:val="000000"/>
          <w:sz w:val="22"/>
          <w:szCs w:val="22"/>
          <w:lang w:val="en-LV" w:eastAsia="en-GB"/>
        </w:rPr>
        <w:t>Tēma:</w:t>
      </w:r>
      <w:r w:rsidRPr="00D25C1D">
        <w:rPr>
          <w:rFonts w:ascii="Calibri" w:eastAsia="Times New Roman" w:hAnsi="Calibri" w:cs="Calibri"/>
          <w:color w:val="000000"/>
          <w:sz w:val="22"/>
          <w:szCs w:val="22"/>
          <w:lang w:val="en-LV" w:eastAsia="en-GB"/>
        </w:rPr>
        <w:t> Atb.: Par likumprojekta "Grozījumi Sauszemes transportlīdzekļu īpašnieku civiltiesiskās atbildības obligātās apdrošināšanas likumā" (VSS-617) elektronisku saskaņošanu</w:t>
      </w:r>
    </w:p>
    <w:p w14:paraId="4C5485A8" w14:textId="77777777" w:rsidR="00D25C1D" w:rsidRPr="00D25C1D" w:rsidRDefault="00D25C1D" w:rsidP="00D25C1D">
      <w:pPr>
        <w:textAlignment w:val="baseline"/>
        <w:rPr>
          <w:rFonts w:ascii="Segoe UI" w:eastAsia="Times New Roman" w:hAnsi="Segoe UI" w:cs="Segoe UI"/>
          <w:color w:val="000000"/>
          <w:sz w:val="21"/>
          <w:szCs w:val="21"/>
          <w:lang w:val="en-LV" w:eastAsia="en-GB"/>
        </w:rPr>
      </w:pPr>
      <w:r w:rsidRPr="00D25C1D">
        <w:rPr>
          <w:rFonts w:ascii="Segoe UI" w:eastAsia="Times New Roman" w:hAnsi="Segoe UI" w:cs="Segoe UI"/>
          <w:color w:val="000000"/>
          <w:sz w:val="21"/>
          <w:szCs w:val="21"/>
          <w:lang w:val="en-LV" w:eastAsia="en-GB"/>
        </w:rPr>
        <w:t> </w:t>
      </w:r>
    </w:p>
    <w:p w14:paraId="61985565"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Tieslietu ministrija saskaņā ar Finanšu ministrijas 2022. gada 20. oktobra elektronisko sūtījumu ir izskatījusi precizēto likumprojektu "Grozījumi Sauszemes transportlīdzekļu īpašnieku civiltiesiskās atbildības obligātās apdrošināšanas likumā" (turpmāk – projekts) un atbalsta projekta virzību, izsakot šādus iebildumus:</w:t>
      </w:r>
    </w:p>
    <w:p w14:paraId="2C10FBF4"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1. Vēršam uzmanību uz to, ka </w:t>
      </w:r>
      <w:r w:rsidRPr="00D25C1D">
        <w:rPr>
          <w:rFonts w:ascii="Calibri" w:eastAsia="Times New Roman" w:hAnsi="Calibri" w:cs="Calibri"/>
          <w:color w:val="000000"/>
          <w:sz w:val="22"/>
          <w:szCs w:val="22"/>
          <w:bdr w:val="none" w:sz="0" w:space="0" w:color="auto" w:frame="1"/>
          <w:shd w:val="clear" w:color="auto" w:fill="FFFFFF"/>
          <w:lang w:eastAsia="en-GB"/>
        </w:rPr>
        <w:t>Ministru kabineta 2009. gada 3. februāra noteikumu Nr. 108 "Normatīvo aktu projektu sagatavošanas noteikumi" 3.1. apakšpunkts noteic, ka </w:t>
      </w:r>
      <w:r w:rsidRPr="00D25C1D">
        <w:rPr>
          <w:rFonts w:ascii="Calibri" w:eastAsia="Times New Roman" w:hAnsi="Calibri" w:cs="Calibri"/>
          <w:color w:val="000000"/>
          <w:sz w:val="22"/>
          <w:szCs w:val="22"/>
          <w:u w:val="single"/>
          <w:bdr w:val="none" w:sz="0" w:space="0" w:color="auto" w:frame="1"/>
          <w:shd w:val="clear" w:color="auto" w:fill="FFFFFF"/>
          <w:lang w:eastAsia="en-GB"/>
        </w:rPr>
        <w:t>normatīvā akta projektā neietver normas, kas ir deklaratīvas</w:t>
      </w:r>
      <w:r w:rsidRPr="00D25C1D">
        <w:rPr>
          <w:rFonts w:ascii="Calibri" w:eastAsia="Times New Roman" w:hAnsi="Calibri" w:cs="Calibri"/>
          <w:color w:val="000000"/>
          <w:sz w:val="22"/>
          <w:szCs w:val="22"/>
          <w:bdr w:val="none" w:sz="0" w:space="0" w:color="auto" w:frame="1"/>
          <w:shd w:val="clear" w:color="auto" w:fill="FFFFFF"/>
          <w:lang w:eastAsia="en-GB"/>
        </w:rPr>
        <w:t>. Savukārt projekta 6. panta pirmajā un otrajā daļā paredzētais grozījums, kas papildina </w:t>
      </w:r>
      <w:r w:rsidRPr="00D25C1D">
        <w:rPr>
          <w:rFonts w:ascii="Calibri" w:eastAsia="Times New Roman" w:hAnsi="Calibri" w:cs="Calibri"/>
          <w:color w:val="000000"/>
          <w:sz w:val="22"/>
          <w:szCs w:val="22"/>
          <w:lang w:eastAsia="en-GB"/>
        </w:rPr>
        <w:t>Sauszemes transportlīdzekļu īpašnieku civiltiesiskās atbildības obligātās apdrošināšanas likuma (turpmāk – likums) 39. panta pirmo un piekto daļu ar jaunu</w:t>
      </w:r>
      <w:r w:rsidRPr="00D25C1D">
        <w:rPr>
          <w:rFonts w:ascii="Calibri" w:eastAsia="Times New Roman" w:hAnsi="Calibri" w:cs="Calibri"/>
          <w:color w:val="000000"/>
          <w:sz w:val="22"/>
          <w:szCs w:val="22"/>
          <w:bdr w:val="none" w:sz="0" w:space="0" w:color="auto" w:frame="1"/>
          <w:shd w:val="clear" w:color="auto" w:fill="FFFFFF"/>
          <w:lang w:eastAsia="en-GB"/>
        </w:rPr>
        <w:t> regulējumu, ir deklaratīvs</w:t>
      </w:r>
      <w:r w:rsidRPr="00D25C1D">
        <w:rPr>
          <w:rFonts w:ascii="Calibri" w:eastAsia="Times New Roman" w:hAnsi="Calibri" w:cs="Calibri"/>
          <w:color w:val="000000"/>
          <w:sz w:val="22"/>
          <w:szCs w:val="22"/>
          <w:lang w:eastAsia="en-GB"/>
        </w:rPr>
        <w:t>.</w:t>
      </w:r>
    </w:p>
    <w:p w14:paraId="229E8793"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Vienlaikus vēršam uzmanību uz to, ka projekta 8. pantā paredzētajā likuma 44. panta otrajā daļā ir noteikti Transportlīdzekļu apdrošinātāju birojam deleģētie valsts pārvaldes uzdevumi, kas cita starpā skaidri noteic, kādus administratīvos aktus ir tiesīgs izdot Transportlīdzekļu apdrošinātāju birojs. Līdz ar to likumā, kur minēti Transportlīdzekļu apdrošinātāju biroja lēmumi, nav nepieciešams norādīt, vai attiecīgais lēmums ir vai nav administratīvais akts. Ievērojot minēto, lūdzam izslēgt </w:t>
      </w:r>
      <w:r w:rsidRPr="00D25C1D">
        <w:rPr>
          <w:rFonts w:ascii="Calibri" w:eastAsia="Times New Roman" w:hAnsi="Calibri" w:cs="Calibri"/>
          <w:color w:val="000000"/>
          <w:sz w:val="22"/>
          <w:szCs w:val="22"/>
          <w:bdr w:val="none" w:sz="0" w:space="0" w:color="auto" w:frame="1"/>
          <w:shd w:val="clear" w:color="auto" w:fill="FFFFFF"/>
          <w:lang w:eastAsia="en-GB"/>
        </w:rPr>
        <w:t>projekta 6. panta pirmo un otro daļu</w:t>
      </w:r>
      <w:r w:rsidRPr="00D25C1D">
        <w:rPr>
          <w:rFonts w:ascii="Calibri" w:eastAsia="Times New Roman" w:hAnsi="Calibri" w:cs="Calibri"/>
          <w:color w:val="000000"/>
          <w:sz w:val="22"/>
          <w:szCs w:val="22"/>
          <w:lang w:eastAsia="en-GB"/>
        </w:rPr>
        <w:t>, kā arī nepieciešamības gadījumā papildināt projekta sākotnējās </w:t>
      </w:r>
      <w:r w:rsidRPr="00D25C1D">
        <w:rPr>
          <w:rFonts w:ascii="Calibri" w:eastAsia="Times New Roman" w:hAnsi="Calibri" w:cs="Calibri"/>
          <w:i/>
          <w:iCs/>
          <w:color w:val="000000"/>
          <w:sz w:val="22"/>
          <w:szCs w:val="22"/>
          <w:lang w:eastAsia="en-GB"/>
        </w:rPr>
        <w:t>(</w:t>
      </w:r>
      <w:proofErr w:type="spellStart"/>
      <w:r w:rsidRPr="00D25C1D">
        <w:rPr>
          <w:rFonts w:ascii="Calibri" w:eastAsia="Times New Roman" w:hAnsi="Calibri" w:cs="Calibri"/>
          <w:i/>
          <w:iCs/>
          <w:color w:val="000000"/>
          <w:sz w:val="22"/>
          <w:szCs w:val="22"/>
          <w:lang w:eastAsia="en-GB"/>
        </w:rPr>
        <w:t>ex-ante</w:t>
      </w:r>
      <w:proofErr w:type="spellEnd"/>
      <w:r w:rsidRPr="00D25C1D">
        <w:rPr>
          <w:rFonts w:ascii="Calibri" w:eastAsia="Times New Roman" w:hAnsi="Calibri" w:cs="Calibri"/>
          <w:i/>
          <w:iCs/>
          <w:color w:val="000000"/>
          <w:sz w:val="22"/>
          <w:szCs w:val="22"/>
          <w:lang w:eastAsia="en-GB"/>
        </w:rPr>
        <w:t>)</w:t>
      </w:r>
      <w:r w:rsidRPr="00D25C1D">
        <w:rPr>
          <w:rFonts w:ascii="Calibri" w:eastAsia="Times New Roman" w:hAnsi="Calibri" w:cs="Calibri"/>
          <w:color w:val="000000"/>
          <w:sz w:val="22"/>
          <w:szCs w:val="22"/>
          <w:lang w:eastAsia="en-GB"/>
        </w:rPr>
        <w:t> ietekmes novērtējuma ziņojuma (turpmāk – anotācija) I sadaļas 2. punktu ar atbilstošu skaidrojumu.</w:t>
      </w:r>
    </w:p>
    <w:p w14:paraId="36C3D444"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2. Ievērojot, ka nav skaidrs, kādēļ projekta 12. pantā paredzētais likuma 47.</w:t>
      </w:r>
      <w:r w:rsidRPr="00D25C1D">
        <w:rPr>
          <w:rFonts w:ascii="Calibri" w:eastAsia="Times New Roman" w:hAnsi="Calibri" w:cs="Calibri"/>
          <w:color w:val="000000"/>
          <w:sz w:val="22"/>
          <w:szCs w:val="22"/>
          <w:vertAlign w:val="superscript"/>
          <w:lang w:eastAsia="en-GB"/>
        </w:rPr>
        <w:t>1</w:t>
      </w:r>
      <w:r w:rsidRPr="00D25C1D">
        <w:rPr>
          <w:rFonts w:ascii="Calibri" w:eastAsia="Times New Roman" w:hAnsi="Calibri" w:cs="Calibri"/>
          <w:color w:val="000000"/>
          <w:sz w:val="22"/>
          <w:szCs w:val="22"/>
          <w:lang w:eastAsia="en-GB"/>
        </w:rPr>
        <w:t> pants noteic, ka atsevišķos gadījumos lēmumu pieņem Transportlīdzekļu apdrošinātāju biroja </w:t>
      </w:r>
      <w:r w:rsidRPr="00D25C1D">
        <w:rPr>
          <w:rFonts w:ascii="Calibri" w:eastAsia="Times New Roman" w:hAnsi="Calibri" w:cs="Calibri"/>
          <w:color w:val="000000"/>
          <w:sz w:val="22"/>
          <w:szCs w:val="22"/>
          <w:u w:val="single"/>
          <w:lang w:eastAsia="en-GB"/>
        </w:rPr>
        <w:t>valde</w:t>
      </w:r>
      <w:r w:rsidRPr="00D25C1D">
        <w:rPr>
          <w:rFonts w:ascii="Calibri" w:eastAsia="Times New Roman" w:hAnsi="Calibri" w:cs="Calibri"/>
          <w:color w:val="000000"/>
          <w:sz w:val="22"/>
          <w:szCs w:val="22"/>
          <w:lang w:eastAsia="en-GB"/>
        </w:rPr>
        <w:t>, bet atsevišķos gadījumos lēmumu pieņem Transportlīdzekļu apdrošinātāju biroja </w:t>
      </w:r>
      <w:r w:rsidRPr="00D25C1D">
        <w:rPr>
          <w:rFonts w:ascii="Calibri" w:eastAsia="Times New Roman" w:hAnsi="Calibri" w:cs="Calibri"/>
          <w:color w:val="000000"/>
          <w:sz w:val="22"/>
          <w:szCs w:val="22"/>
          <w:u w:val="single"/>
          <w:lang w:eastAsia="en-GB"/>
        </w:rPr>
        <w:t>kopsapulce</w:t>
      </w:r>
      <w:r w:rsidRPr="00D25C1D">
        <w:rPr>
          <w:rFonts w:ascii="Calibri" w:eastAsia="Times New Roman" w:hAnsi="Calibri" w:cs="Calibri"/>
          <w:color w:val="000000"/>
          <w:sz w:val="22"/>
          <w:szCs w:val="22"/>
          <w:lang w:eastAsia="en-GB"/>
        </w:rPr>
        <w:t>, lūdzam izvērtēt projekta 12. pantā paredzētajā likuma 47.</w:t>
      </w:r>
      <w:r w:rsidRPr="00D25C1D">
        <w:rPr>
          <w:rFonts w:ascii="Calibri" w:eastAsia="Times New Roman" w:hAnsi="Calibri" w:cs="Calibri"/>
          <w:color w:val="000000"/>
          <w:sz w:val="22"/>
          <w:szCs w:val="22"/>
          <w:vertAlign w:val="superscript"/>
          <w:lang w:eastAsia="en-GB"/>
        </w:rPr>
        <w:t>1</w:t>
      </w:r>
      <w:r w:rsidRPr="00D25C1D">
        <w:rPr>
          <w:rFonts w:ascii="Calibri" w:eastAsia="Times New Roman" w:hAnsi="Calibri" w:cs="Calibri"/>
          <w:color w:val="000000"/>
          <w:sz w:val="22"/>
          <w:szCs w:val="22"/>
          <w:lang w:eastAsia="en-GB"/>
        </w:rPr>
        <w:t> pantā ietverto regulējumu un nepieciešamības gadījumā precizēt to vai papildināt anotācijas I sadaļas 2. punktu ar atbilstošu skaidrojumu.</w:t>
      </w:r>
    </w:p>
    <w:p w14:paraId="11B30195"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Vienlaikus izsakām šādus priekšlikumus:</w:t>
      </w:r>
    </w:p>
    <w:p w14:paraId="1B50728B"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1. No anotācijas I sadaļas 2. punktā ietvertās informācijas izriet, ka šobrīd tiek izsniegti pirmreizēji un atkārtoti transportlīdzekļu tehniskās ekspertīzes un tehnisko ekspertu sertifikāti, bet no projekta 5. pantā paredzētajā likuma 37. panta piektajā daļā noteiktā pilnvarojuma Ministru kabinetam neizriet, ka Ministru kabinets varēs noteikt transportlīdzekļu tehniskās ekspertīzes un tehnisko ekspertu sertifikātu darbības termiņu, šo sertifikātu atkārtotas izsniegšanas prasības un kārtību u.tml. Ievērojot minēto, lūdzam izvērtēt projekta 5. pantā paredzētajā likuma 37. panta piektajā daļā noteikto pilnvarojumu Ministru kabinetam un nepieciešamības gadījumā precizēt to.</w:t>
      </w:r>
    </w:p>
    <w:p w14:paraId="784707EC"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2. Lūdzam precizēt projekta 11. pantā paredzēto likuma 47. panta ceturtās daļa pēdējo teikumu, izsakot šādā redakcijā: "Pēc Transportlīdzekļu apdrošinātāju biroja valdes locekļa amata pretendenta atbilstības un piemērotības novērtēšanas, ziņas par personas sodāmību </w:t>
      </w:r>
      <w:r w:rsidRPr="00D25C1D">
        <w:rPr>
          <w:rFonts w:ascii="Calibri" w:eastAsia="Times New Roman" w:hAnsi="Calibri" w:cs="Calibri"/>
          <w:b/>
          <w:bCs/>
          <w:color w:val="000000"/>
          <w:sz w:val="22"/>
          <w:szCs w:val="22"/>
          <w:u w:val="single"/>
          <w:bdr w:val="none" w:sz="0" w:space="0" w:color="auto" w:frame="1"/>
          <w:lang w:eastAsia="en-GB"/>
        </w:rPr>
        <w:t>nekavējoties</w:t>
      </w:r>
      <w:r w:rsidRPr="00D25C1D">
        <w:rPr>
          <w:rFonts w:ascii="Calibri" w:eastAsia="Times New Roman" w:hAnsi="Calibri" w:cs="Calibri"/>
          <w:color w:val="000000"/>
          <w:sz w:val="22"/>
          <w:szCs w:val="22"/>
          <w:bdr w:val="none" w:sz="0" w:space="0" w:color="auto" w:frame="1"/>
          <w:lang w:eastAsia="en-GB"/>
        </w:rPr>
        <w:t> dzēš.". Šādā veidā tiktu noteikts pienākums bez liekas vilcināšanās un pēc iespējas ātrāk dzēst sodāmības datus pēc tam, kad šo datu apstrāde vairāk nav nepieciešama mērķa sasniegšanai, kā dēļ tie tika vākti, tāpat tiktu noteikts skaidrāks termiņš datu glabāšanai, tādējādi garantējot, ka sodāmības dati netiktu glabāti ilgāk, nekā tas nepieciešams.</w:t>
      </w:r>
    </w:p>
    <w:p w14:paraId="5807E93C"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3. Vēršam uzmanību uz to, ka atbilstoši </w:t>
      </w:r>
      <w:r w:rsidRPr="00D25C1D">
        <w:rPr>
          <w:rFonts w:ascii="Calibri" w:eastAsia="Times New Roman" w:hAnsi="Calibri" w:cs="Calibri"/>
          <w:color w:val="000000"/>
          <w:sz w:val="22"/>
          <w:szCs w:val="22"/>
          <w:bdr w:val="none" w:sz="0" w:space="0" w:color="auto" w:frame="1"/>
          <w:shd w:val="clear" w:color="auto" w:fill="FFFFFF"/>
          <w:lang w:eastAsia="en-GB"/>
        </w:rPr>
        <w:t>Ministru kabineta 2009. gada 3. februāra noteikumu Nr. 108 "Normatīvo aktu projektu sagatavošanas noteikumi" 62. punktā noteiktajam </w:t>
      </w:r>
      <w:r w:rsidRPr="00D25C1D">
        <w:rPr>
          <w:rFonts w:ascii="Calibri" w:eastAsia="Times New Roman" w:hAnsi="Calibri" w:cs="Calibri"/>
          <w:color w:val="000000"/>
          <w:sz w:val="22"/>
          <w:szCs w:val="22"/>
          <w:u w:val="single"/>
          <w:bdr w:val="none" w:sz="0" w:space="0" w:color="auto" w:frame="1"/>
          <w:shd w:val="clear" w:color="auto" w:fill="FFFFFF"/>
          <w:lang w:eastAsia="en-GB"/>
        </w:rPr>
        <w:t>likumprojektā neietver atsauces uz zemāka juridiskā spēka normatīvo aktu</w:t>
      </w:r>
      <w:r w:rsidRPr="00D25C1D">
        <w:rPr>
          <w:rFonts w:ascii="Calibri" w:eastAsia="Times New Roman" w:hAnsi="Calibri" w:cs="Calibri"/>
          <w:color w:val="000000"/>
          <w:sz w:val="22"/>
          <w:szCs w:val="22"/>
          <w:bdr w:val="none" w:sz="0" w:space="0" w:color="auto" w:frame="1"/>
          <w:shd w:val="clear" w:color="auto" w:fill="FFFFFF"/>
          <w:lang w:eastAsia="en-GB"/>
        </w:rPr>
        <w:t>. </w:t>
      </w:r>
      <w:r w:rsidRPr="00D25C1D">
        <w:rPr>
          <w:rFonts w:ascii="Calibri" w:eastAsia="Times New Roman" w:hAnsi="Calibri" w:cs="Calibri"/>
          <w:color w:val="000000"/>
          <w:sz w:val="22"/>
          <w:szCs w:val="22"/>
          <w:lang w:eastAsia="en-GB"/>
        </w:rPr>
        <w:t>Ievērojot minēto, lūdzam precizēt projekta 12. pantā paredzētajā likuma 47.</w:t>
      </w:r>
      <w:r w:rsidRPr="00D25C1D">
        <w:rPr>
          <w:rFonts w:ascii="Calibri" w:eastAsia="Times New Roman" w:hAnsi="Calibri" w:cs="Calibri"/>
          <w:color w:val="000000"/>
          <w:sz w:val="22"/>
          <w:szCs w:val="22"/>
          <w:vertAlign w:val="superscript"/>
          <w:lang w:eastAsia="en-GB"/>
        </w:rPr>
        <w:t>1</w:t>
      </w:r>
      <w:r w:rsidRPr="00D25C1D">
        <w:rPr>
          <w:rFonts w:ascii="Calibri" w:eastAsia="Times New Roman" w:hAnsi="Calibri" w:cs="Calibri"/>
          <w:color w:val="000000"/>
          <w:sz w:val="22"/>
          <w:szCs w:val="22"/>
          <w:lang w:eastAsia="en-GB"/>
        </w:rPr>
        <w:t> panta pirmās daļas 1. punktā ietverto regulējumu.</w:t>
      </w:r>
    </w:p>
    <w:p w14:paraId="428B906B"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lastRenderedPageBreak/>
        <w:t>4. Vēršam uzmanību uz to, ka Dokumentu juridiskā spēka likumā ir minēts d</w:t>
      </w:r>
      <w:r w:rsidRPr="00D25C1D">
        <w:rPr>
          <w:rFonts w:ascii="Calibri" w:eastAsia="Times New Roman" w:hAnsi="Calibri" w:cs="Calibri"/>
          <w:color w:val="000000"/>
          <w:sz w:val="22"/>
          <w:szCs w:val="22"/>
          <w:bdr w:val="none" w:sz="0" w:space="0" w:color="auto" w:frame="1"/>
          <w:shd w:val="clear" w:color="auto" w:fill="FFFFFF"/>
          <w:lang w:eastAsia="en-GB"/>
        </w:rPr>
        <w:t>okumenta oriģināls, </w:t>
      </w:r>
      <w:r w:rsidRPr="00D25C1D">
        <w:rPr>
          <w:rFonts w:ascii="Calibri" w:eastAsia="Times New Roman" w:hAnsi="Calibri" w:cs="Calibri"/>
          <w:color w:val="000000"/>
          <w:sz w:val="22"/>
          <w:szCs w:val="22"/>
          <w:u w:val="single"/>
          <w:bdr w:val="none" w:sz="0" w:space="0" w:color="auto" w:frame="1"/>
          <w:shd w:val="clear" w:color="auto" w:fill="FFFFFF"/>
          <w:lang w:eastAsia="en-GB"/>
        </w:rPr>
        <w:t>atvasinājums (noraksts, izraksts vai kopija)</w:t>
      </w:r>
      <w:r w:rsidRPr="00D25C1D">
        <w:rPr>
          <w:rFonts w:ascii="Calibri" w:eastAsia="Times New Roman" w:hAnsi="Calibri" w:cs="Calibri"/>
          <w:color w:val="000000"/>
          <w:sz w:val="22"/>
          <w:szCs w:val="22"/>
          <w:bdr w:val="none" w:sz="0" w:space="0" w:color="auto" w:frame="1"/>
          <w:shd w:val="clear" w:color="auto" w:fill="FFFFFF"/>
          <w:lang w:eastAsia="en-GB"/>
        </w:rPr>
        <w:t> un dublikāts. Turklāt prasības </w:t>
      </w:r>
      <w:r w:rsidRPr="00D25C1D">
        <w:rPr>
          <w:rFonts w:ascii="Calibri" w:eastAsia="Times New Roman" w:hAnsi="Calibri" w:cs="Calibri"/>
          <w:color w:val="000000"/>
          <w:sz w:val="22"/>
          <w:szCs w:val="22"/>
          <w:u w:val="single"/>
          <w:bdr w:val="none" w:sz="0" w:space="0" w:color="auto" w:frame="1"/>
          <w:shd w:val="clear" w:color="auto" w:fill="FFFFFF"/>
          <w:lang w:eastAsia="en-GB"/>
        </w:rPr>
        <w:t>dokumentu atvasinājuma</w:t>
      </w:r>
      <w:r w:rsidRPr="00D25C1D">
        <w:rPr>
          <w:rFonts w:ascii="Calibri" w:eastAsia="Times New Roman" w:hAnsi="Calibri" w:cs="Calibri"/>
          <w:color w:val="000000"/>
          <w:sz w:val="22"/>
          <w:szCs w:val="22"/>
          <w:bdr w:val="none" w:sz="0" w:space="0" w:color="auto" w:frame="1"/>
          <w:shd w:val="clear" w:color="auto" w:fill="FFFFFF"/>
          <w:lang w:eastAsia="en-GB"/>
        </w:rPr>
        <w:t> izstrādāšanai vai noformēšanai ir noteiktas gan </w:t>
      </w:r>
      <w:r w:rsidRPr="00D25C1D">
        <w:rPr>
          <w:rFonts w:ascii="Calibri" w:eastAsia="Times New Roman" w:hAnsi="Calibri" w:cs="Calibri"/>
          <w:color w:val="000000"/>
          <w:sz w:val="22"/>
          <w:szCs w:val="22"/>
          <w:bdr w:val="none" w:sz="0" w:space="0" w:color="auto" w:frame="1"/>
          <w:lang w:eastAsia="en-GB"/>
        </w:rPr>
        <w:t>Dokumentu juridiskā spēka likumā, gan Ministru kabineta 2018. gada 4. septembra noteikumos Nr. 558 "Dokumentu izstrādāšanas un noformēšanas kārtība". Ievērojot minēto, lūdzam precizēt projekta 12. pantā paredzētajā likuma 47.</w:t>
      </w:r>
      <w:r w:rsidRPr="00D25C1D">
        <w:rPr>
          <w:rFonts w:ascii="Calibri" w:eastAsia="Times New Roman" w:hAnsi="Calibri" w:cs="Calibri"/>
          <w:color w:val="000000"/>
          <w:sz w:val="22"/>
          <w:szCs w:val="22"/>
          <w:bdr w:val="none" w:sz="0" w:space="0" w:color="auto" w:frame="1"/>
          <w:vertAlign w:val="superscript"/>
          <w:lang w:eastAsia="en-GB"/>
        </w:rPr>
        <w:t>1</w:t>
      </w:r>
      <w:r w:rsidRPr="00D25C1D">
        <w:rPr>
          <w:rFonts w:ascii="Calibri" w:eastAsia="Times New Roman" w:hAnsi="Calibri" w:cs="Calibri"/>
          <w:color w:val="000000"/>
          <w:sz w:val="22"/>
          <w:szCs w:val="22"/>
          <w:bdr w:val="none" w:sz="0" w:space="0" w:color="auto" w:frame="1"/>
          <w:lang w:eastAsia="en-GB"/>
        </w:rPr>
        <w:t> panta pirmās daļas 2. punktā ietverto regulējumu par attiecīgā dokumenta apliecināto kopiju, vienlaikus nedublējot citos normatīvajos aktos ietverto regulējumu.</w:t>
      </w:r>
    </w:p>
    <w:p w14:paraId="7F3028BE" w14:textId="77777777" w:rsidR="00D25C1D" w:rsidRPr="00D25C1D" w:rsidRDefault="00D25C1D" w:rsidP="00D25C1D">
      <w:pPr>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5. Ievērojot, ka atbilstoši Administratīvā procesa likuma 55. panta 1. punktā noteiktajam </w:t>
      </w:r>
      <w:r w:rsidRPr="00D25C1D">
        <w:rPr>
          <w:rFonts w:ascii="Calibri" w:eastAsia="Times New Roman" w:hAnsi="Calibri" w:cs="Calibri"/>
          <w:color w:val="000000"/>
          <w:sz w:val="22"/>
          <w:szCs w:val="22"/>
          <w:u w:val="single"/>
          <w:lang w:eastAsia="en-GB"/>
        </w:rPr>
        <w:t>administratīvo procesu iestādē ierosina uz iesnieguma pamata</w:t>
      </w:r>
      <w:r w:rsidRPr="00D25C1D">
        <w:rPr>
          <w:rFonts w:ascii="Calibri" w:eastAsia="Times New Roman" w:hAnsi="Calibri" w:cs="Calibri"/>
          <w:color w:val="000000"/>
          <w:sz w:val="22"/>
          <w:szCs w:val="22"/>
          <w:lang w:eastAsia="en-GB"/>
        </w:rPr>
        <w:t> un projekta 12. pantā paredzētajā likuma 47.</w:t>
      </w:r>
      <w:r w:rsidRPr="00D25C1D">
        <w:rPr>
          <w:rFonts w:ascii="Calibri" w:eastAsia="Times New Roman" w:hAnsi="Calibri" w:cs="Calibri"/>
          <w:color w:val="000000"/>
          <w:sz w:val="22"/>
          <w:szCs w:val="22"/>
          <w:vertAlign w:val="superscript"/>
          <w:lang w:eastAsia="en-GB"/>
        </w:rPr>
        <w:t>1</w:t>
      </w:r>
      <w:r w:rsidRPr="00D25C1D">
        <w:rPr>
          <w:rFonts w:ascii="Calibri" w:eastAsia="Times New Roman" w:hAnsi="Calibri" w:cs="Calibri"/>
          <w:color w:val="000000"/>
          <w:sz w:val="22"/>
          <w:szCs w:val="22"/>
          <w:lang w:eastAsia="en-GB"/>
        </w:rPr>
        <w:t> panta pirmajā daļā noteiktajam tiek iesniegts iesniegums un tam pievienotie attiecīgie dokumenti, lūdzam aizstāt projekta 12. pantā paredzētajā likuma 47.</w:t>
      </w:r>
      <w:r w:rsidRPr="00D25C1D">
        <w:rPr>
          <w:rFonts w:ascii="Calibri" w:eastAsia="Times New Roman" w:hAnsi="Calibri" w:cs="Calibri"/>
          <w:color w:val="000000"/>
          <w:sz w:val="22"/>
          <w:szCs w:val="22"/>
          <w:vertAlign w:val="superscript"/>
          <w:lang w:eastAsia="en-GB"/>
        </w:rPr>
        <w:t>1</w:t>
      </w:r>
      <w:r w:rsidRPr="00D25C1D">
        <w:rPr>
          <w:rFonts w:ascii="Calibri" w:eastAsia="Times New Roman" w:hAnsi="Calibri" w:cs="Calibri"/>
          <w:color w:val="000000"/>
          <w:sz w:val="22"/>
          <w:szCs w:val="22"/>
          <w:lang w:eastAsia="en-GB"/>
        </w:rPr>
        <w:t> panta otrajā daļā vārdus "minētos dokumentus" ar vārdiem "minēto iesniegumu un dokumentus" vai citiem kontekstam atbilstošiem vārdiem.</w:t>
      </w:r>
    </w:p>
    <w:p w14:paraId="7597F2FD"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6. Ievērojot, ka projekta 12. pantā paredzētajā likuma 47.</w:t>
      </w:r>
      <w:r w:rsidRPr="00D25C1D">
        <w:rPr>
          <w:rFonts w:ascii="Calibri" w:eastAsia="Times New Roman" w:hAnsi="Calibri" w:cs="Calibri"/>
          <w:color w:val="000000"/>
          <w:sz w:val="22"/>
          <w:szCs w:val="22"/>
          <w:bdr w:val="none" w:sz="0" w:space="0" w:color="auto" w:frame="1"/>
          <w:vertAlign w:val="superscript"/>
          <w:lang w:eastAsia="en-GB"/>
        </w:rPr>
        <w:t>1</w:t>
      </w:r>
      <w:r w:rsidRPr="00D25C1D">
        <w:rPr>
          <w:rFonts w:ascii="Calibri" w:eastAsia="Times New Roman" w:hAnsi="Calibri" w:cs="Calibri"/>
          <w:color w:val="000000"/>
          <w:sz w:val="22"/>
          <w:szCs w:val="22"/>
          <w:bdr w:val="none" w:sz="0" w:space="0" w:color="auto" w:frame="1"/>
          <w:lang w:eastAsia="en-GB"/>
        </w:rPr>
        <w:t> pantā tiek lietots termins "apdrošināšanas sabiedrība", lūdzam precizēt projekta 12. pantā paredzētajā likuma 47.</w:t>
      </w:r>
      <w:r w:rsidRPr="00D25C1D">
        <w:rPr>
          <w:rFonts w:ascii="Calibri" w:eastAsia="Times New Roman" w:hAnsi="Calibri" w:cs="Calibri"/>
          <w:color w:val="000000"/>
          <w:sz w:val="22"/>
          <w:szCs w:val="22"/>
          <w:bdr w:val="none" w:sz="0" w:space="0" w:color="auto" w:frame="1"/>
          <w:vertAlign w:val="superscript"/>
          <w:lang w:eastAsia="en-GB"/>
        </w:rPr>
        <w:t>1</w:t>
      </w:r>
      <w:r w:rsidRPr="00D25C1D">
        <w:rPr>
          <w:rFonts w:ascii="Calibri" w:eastAsia="Times New Roman" w:hAnsi="Calibri" w:cs="Calibri"/>
          <w:color w:val="000000"/>
          <w:sz w:val="22"/>
          <w:szCs w:val="22"/>
          <w:bdr w:val="none" w:sz="0" w:space="0" w:color="auto" w:frame="1"/>
          <w:lang w:eastAsia="en-GB"/>
        </w:rPr>
        <w:t> panta ceturtajā daļā minēto terminu "apdrošinātājs".</w:t>
      </w:r>
    </w:p>
    <w:p w14:paraId="6151B863"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7. Lūdzam aizstāt projekta 13. panta pirmajā daļā vārdus un skaitļus "atsauci uz 51. panta pirmās daļas 4. punktu" ar skaitli "4.".</w:t>
      </w:r>
    </w:p>
    <w:p w14:paraId="171B9E23" w14:textId="77777777" w:rsidR="00D25C1D" w:rsidRPr="00D25C1D" w:rsidRDefault="00D25C1D" w:rsidP="00D25C1D">
      <w:pPr>
        <w:shd w:val="clear" w:color="auto" w:fill="FFFFFF"/>
        <w:ind w:firstLine="720"/>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8. Anotācijas I sadaļas 2. punktā norādīts, ka Transportlīdzekļu apdrošinātāju biroja valdes locekļu pilnvaru termiņš ir ne ilgāks kā trīs gadi, bet nav skaidrs, kur tas ir paredzēts. Ievērojot minēto, lūdzam precizēt anotācijas I sadaļas 2. punktā ietverto informāciju.</w:t>
      </w:r>
    </w:p>
    <w:p w14:paraId="198E54F9" w14:textId="77777777" w:rsidR="00D25C1D" w:rsidRPr="00D25C1D" w:rsidRDefault="00D25C1D" w:rsidP="00D25C1D">
      <w:pPr>
        <w:shd w:val="clear" w:color="auto" w:fill="FFFFFF"/>
        <w:jc w:val="both"/>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lang w:eastAsia="en-GB"/>
        </w:rPr>
        <w:t> </w:t>
      </w:r>
    </w:p>
    <w:p w14:paraId="045E870A"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Ar cieņu</w:t>
      </w:r>
    </w:p>
    <w:p w14:paraId="396F2F0C"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b/>
          <w:bCs/>
          <w:color w:val="000000"/>
          <w:sz w:val="20"/>
          <w:szCs w:val="20"/>
          <w:bdr w:val="none" w:sz="0" w:space="0" w:color="auto" w:frame="1"/>
          <w:lang w:eastAsia="en-GB"/>
        </w:rPr>
        <w:t>Ilze Māliņa</w:t>
      </w:r>
    </w:p>
    <w:p w14:paraId="796CC3D6"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Tieslietu ministrijas</w:t>
      </w:r>
    </w:p>
    <w:p w14:paraId="5CA1D8D5"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Valststiesību departamenta</w:t>
      </w:r>
    </w:p>
    <w:p w14:paraId="48085964"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Administratīvo tiesību nodaļas juriste</w:t>
      </w:r>
    </w:p>
    <w:p w14:paraId="035A2E65"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tālr. 67036910</w:t>
      </w:r>
    </w:p>
    <w:p w14:paraId="35B27CBC"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Juridiskā adrese: Brīvības bulvārī 36, Rīgā, LV-1536</w:t>
      </w:r>
    </w:p>
    <w:p w14:paraId="1B67F9F0"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Atrašanās vieta: Raiņa bulvārī 15, Rīgā, LV-1050</w:t>
      </w:r>
    </w:p>
    <w:p w14:paraId="7EEC2428"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 </w:t>
      </w:r>
    </w:p>
    <w:p w14:paraId="443406AC"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b/>
          <w:bCs/>
          <w:color w:val="000000"/>
          <w:spacing w:val="4"/>
          <w:sz w:val="20"/>
          <w:szCs w:val="20"/>
          <w:bdr w:val="none" w:sz="0" w:space="0" w:color="auto" w:frame="1"/>
          <w:lang w:eastAsia="en-GB"/>
        </w:rPr>
        <w:t>Liene Ozola</w:t>
      </w:r>
    </w:p>
    <w:p w14:paraId="1AF0BCF1"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Tieslietu ministrijas</w:t>
      </w:r>
    </w:p>
    <w:p w14:paraId="208D35D4"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Nozaru</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politikas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departamenta</w:t>
      </w:r>
      <w:proofErr w:type="spellEnd"/>
    </w:p>
    <w:p w14:paraId="6456DC68"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Politikas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izstrādes</w:t>
      </w:r>
      <w:proofErr w:type="spellEnd"/>
      <w:r w:rsidRPr="00D25C1D">
        <w:rPr>
          <w:rFonts w:ascii="Arial" w:eastAsia="Times New Roman" w:hAnsi="Arial" w:cs="Arial"/>
          <w:color w:val="000000"/>
          <w:sz w:val="20"/>
          <w:szCs w:val="20"/>
          <w:bdr w:val="none" w:sz="0" w:space="0" w:color="auto" w:frame="1"/>
          <w:lang w:val="en-US" w:eastAsia="en-GB"/>
        </w:rPr>
        <w:t xml:space="preserve"> un </w:t>
      </w:r>
      <w:proofErr w:type="spellStart"/>
      <w:r w:rsidRPr="00D25C1D">
        <w:rPr>
          <w:rFonts w:ascii="Arial" w:eastAsia="Times New Roman" w:hAnsi="Arial" w:cs="Arial"/>
          <w:color w:val="000000"/>
          <w:sz w:val="20"/>
          <w:szCs w:val="20"/>
          <w:bdr w:val="none" w:sz="0" w:space="0" w:color="auto" w:frame="1"/>
          <w:lang w:val="en-US" w:eastAsia="en-GB"/>
        </w:rPr>
        <w:t>reliģijas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lietu</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nodaļas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juriste</w:t>
      </w:r>
      <w:proofErr w:type="spellEnd"/>
    </w:p>
    <w:p w14:paraId="73526C2D"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tālr</w:t>
      </w:r>
      <w:proofErr w:type="spellEnd"/>
      <w:r w:rsidRPr="00D25C1D">
        <w:rPr>
          <w:rFonts w:ascii="Arial" w:eastAsia="Times New Roman" w:hAnsi="Arial" w:cs="Arial"/>
          <w:color w:val="000000"/>
          <w:sz w:val="20"/>
          <w:szCs w:val="20"/>
          <w:bdr w:val="none" w:sz="0" w:space="0" w:color="auto" w:frame="1"/>
          <w:lang w:val="en-US" w:eastAsia="en-GB"/>
        </w:rPr>
        <w:t>. 67046147</w:t>
      </w:r>
    </w:p>
    <w:p w14:paraId="3C0CF7DA"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r w:rsidRPr="00D25C1D">
        <w:rPr>
          <w:rFonts w:ascii="Arial" w:eastAsia="Times New Roman" w:hAnsi="Arial" w:cs="Arial"/>
          <w:color w:val="000000"/>
          <w:sz w:val="20"/>
          <w:szCs w:val="20"/>
          <w:bdr w:val="none" w:sz="0" w:space="0" w:color="auto" w:frame="1"/>
          <w:lang w:eastAsia="en-GB"/>
        </w:rPr>
        <w:t>Juridiskā adrese: Brīvības bulvārī 36, Rīgā, LV-1536</w:t>
      </w:r>
    </w:p>
    <w:p w14:paraId="588D49A0" w14:textId="77777777" w:rsidR="00D25C1D" w:rsidRPr="00D25C1D" w:rsidRDefault="00D25C1D" w:rsidP="00D25C1D">
      <w:pPr>
        <w:jc w:val="both"/>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Atrašanās vieta: Raiņa bulvārī 15, Rīgā, LV-1050</w:t>
      </w:r>
    </w:p>
    <w:p w14:paraId="3F4E5A63" w14:textId="77777777" w:rsidR="00D25C1D" w:rsidRPr="00D25C1D" w:rsidRDefault="00D25C1D" w:rsidP="00D25C1D">
      <w:pPr>
        <w:jc w:val="both"/>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 </w:t>
      </w:r>
    </w:p>
    <w:p w14:paraId="3BEE6AF2"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b/>
          <w:bCs/>
          <w:color w:val="000000"/>
          <w:spacing w:val="4"/>
          <w:sz w:val="20"/>
          <w:szCs w:val="20"/>
          <w:bdr w:val="none" w:sz="0" w:space="0" w:color="auto" w:frame="1"/>
          <w:lang w:eastAsia="en-GB"/>
        </w:rPr>
        <w:t xml:space="preserve">Arnis </w:t>
      </w:r>
      <w:proofErr w:type="spellStart"/>
      <w:r w:rsidRPr="00D25C1D">
        <w:rPr>
          <w:rFonts w:ascii="Arial" w:eastAsia="Times New Roman" w:hAnsi="Arial" w:cs="Arial"/>
          <w:b/>
          <w:bCs/>
          <w:color w:val="000000"/>
          <w:spacing w:val="4"/>
          <w:sz w:val="20"/>
          <w:szCs w:val="20"/>
          <w:bdr w:val="none" w:sz="0" w:space="0" w:color="auto" w:frame="1"/>
          <w:lang w:eastAsia="en-GB"/>
        </w:rPr>
        <w:t>Slesars</w:t>
      </w:r>
      <w:proofErr w:type="spellEnd"/>
    </w:p>
    <w:p w14:paraId="44899DBB" w14:textId="77777777" w:rsidR="00D25C1D" w:rsidRPr="00D25C1D" w:rsidRDefault="00D25C1D" w:rsidP="00D25C1D">
      <w:pPr>
        <w:shd w:val="clear" w:color="auto" w:fill="FFFFFF"/>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Tieslietu ministrijas</w:t>
      </w:r>
    </w:p>
    <w:p w14:paraId="6E74E446"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Nozaru</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politikas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departamenta</w:t>
      </w:r>
      <w:proofErr w:type="spellEnd"/>
    </w:p>
    <w:p w14:paraId="15664D5D"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Politikas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izstrādes</w:t>
      </w:r>
      <w:proofErr w:type="spellEnd"/>
      <w:r w:rsidRPr="00D25C1D">
        <w:rPr>
          <w:rFonts w:ascii="Arial" w:eastAsia="Times New Roman" w:hAnsi="Arial" w:cs="Arial"/>
          <w:color w:val="000000"/>
          <w:sz w:val="20"/>
          <w:szCs w:val="20"/>
          <w:bdr w:val="none" w:sz="0" w:space="0" w:color="auto" w:frame="1"/>
          <w:lang w:val="en-US" w:eastAsia="en-GB"/>
        </w:rPr>
        <w:t xml:space="preserve"> un </w:t>
      </w:r>
      <w:proofErr w:type="spellStart"/>
      <w:r w:rsidRPr="00D25C1D">
        <w:rPr>
          <w:rFonts w:ascii="Arial" w:eastAsia="Times New Roman" w:hAnsi="Arial" w:cs="Arial"/>
          <w:color w:val="000000"/>
          <w:sz w:val="20"/>
          <w:szCs w:val="20"/>
          <w:bdr w:val="none" w:sz="0" w:space="0" w:color="auto" w:frame="1"/>
          <w:lang w:val="en-US" w:eastAsia="en-GB"/>
        </w:rPr>
        <w:t>reliģijas</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lietu</w:t>
      </w:r>
      <w:proofErr w:type="spellEnd"/>
      <w:r w:rsidRPr="00D25C1D">
        <w:rPr>
          <w:rFonts w:ascii="Arial" w:eastAsia="Times New Roman" w:hAnsi="Arial" w:cs="Arial"/>
          <w:color w:val="000000"/>
          <w:sz w:val="20"/>
          <w:szCs w:val="20"/>
          <w:bdr w:val="none" w:sz="0" w:space="0" w:color="auto" w:frame="1"/>
          <w:lang w:val="en-US" w:eastAsia="en-GB"/>
        </w:rPr>
        <w:t xml:space="preserve"> </w:t>
      </w:r>
      <w:proofErr w:type="spellStart"/>
      <w:r w:rsidRPr="00D25C1D">
        <w:rPr>
          <w:rFonts w:ascii="Arial" w:eastAsia="Times New Roman" w:hAnsi="Arial" w:cs="Arial"/>
          <w:color w:val="000000"/>
          <w:sz w:val="20"/>
          <w:szCs w:val="20"/>
          <w:bdr w:val="none" w:sz="0" w:space="0" w:color="auto" w:frame="1"/>
          <w:lang w:val="en-US" w:eastAsia="en-GB"/>
        </w:rPr>
        <w:t>nodaļas</w:t>
      </w:r>
      <w:proofErr w:type="spellEnd"/>
      <w:r w:rsidRPr="00D25C1D">
        <w:rPr>
          <w:rFonts w:ascii="Arial" w:eastAsia="Times New Roman" w:hAnsi="Arial" w:cs="Arial"/>
          <w:color w:val="000000"/>
          <w:sz w:val="20"/>
          <w:szCs w:val="20"/>
          <w:bdr w:val="none" w:sz="0" w:space="0" w:color="auto" w:frame="1"/>
          <w:lang w:val="en-US" w:eastAsia="en-GB"/>
        </w:rPr>
        <w:t xml:space="preserve"> jurists</w:t>
      </w:r>
    </w:p>
    <w:p w14:paraId="10B2AD0C"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proofErr w:type="spellStart"/>
      <w:r w:rsidRPr="00D25C1D">
        <w:rPr>
          <w:rFonts w:ascii="Arial" w:eastAsia="Times New Roman" w:hAnsi="Arial" w:cs="Arial"/>
          <w:color w:val="000000"/>
          <w:sz w:val="20"/>
          <w:szCs w:val="20"/>
          <w:bdr w:val="none" w:sz="0" w:space="0" w:color="auto" w:frame="1"/>
          <w:lang w:val="en-US" w:eastAsia="en-GB"/>
        </w:rPr>
        <w:t>tālr</w:t>
      </w:r>
      <w:proofErr w:type="spellEnd"/>
      <w:r w:rsidRPr="00D25C1D">
        <w:rPr>
          <w:rFonts w:ascii="Arial" w:eastAsia="Times New Roman" w:hAnsi="Arial" w:cs="Arial"/>
          <w:color w:val="000000"/>
          <w:sz w:val="20"/>
          <w:szCs w:val="20"/>
          <w:bdr w:val="none" w:sz="0" w:space="0" w:color="auto" w:frame="1"/>
          <w:lang w:val="en-US" w:eastAsia="en-GB"/>
        </w:rPr>
        <w:t>. 67046133</w:t>
      </w:r>
    </w:p>
    <w:p w14:paraId="31A56B0B" w14:textId="77777777" w:rsidR="00D25C1D" w:rsidRPr="00D25C1D" w:rsidRDefault="00D25C1D" w:rsidP="00D25C1D">
      <w:pPr>
        <w:shd w:val="clear" w:color="auto" w:fill="FFFFFF"/>
        <w:textAlignment w:val="baseline"/>
        <w:rPr>
          <w:rFonts w:ascii="Times New Roman" w:eastAsia="Times New Roman" w:hAnsi="Times New Roman" w:cs="Times New Roman"/>
          <w:color w:val="000000"/>
          <w:lang w:eastAsia="en-GB"/>
        </w:rPr>
      </w:pPr>
      <w:r w:rsidRPr="00D25C1D">
        <w:rPr>
          <w:rFonts w:ascii="Arial" w:eastAsia="Times New Roman" w:hAnsi="Arial" w:cs="Arial"/>
          <w:color w:val="000000"/>
          <w:sz w:val="20"/>
          <w:szCs w:val="20"/>
          <w:bdr w:val="none" w:sz="0" w:space="0" w:color="auto" w:frame="1"/>
          <w:lang w:eastAsia="en-GB"/>
        </w:rPr>
        <w:t>Juridiskā adrese: Brīvības bulvārī 36, Rīgā, LV-1536</w:t>
      </w:r>
    </w:p>
    <w:p w14:paraId="32085BFD" w14:textId="77777777" w:rsidR="00D25C1D" w:rsidRPr="00D25C1D" w:rsidRDefault="00D25C1D" w:rsidP="00D25C1D">
      <w:pPr>
        <w:jc w:val="both"/>
        <w:textAlignment w:val="baseline"/>
        <w:rPr>
          <w:rFonts w:ascii="Calibri" w:eastAsia="Times New Roman" w:hAnsi="Calibri" w:cs="Calibri"/>
          <w:color w:val="000000"/>
          <w:sz w:val="22"/>
          <w:szCs w:val="22"/>
          <w:lang w:eastAsia="en-GB"/>
        </w:rPr>
      </w:pPr>
      <w:r w:rsidRPr="00D25C1D">
        <w:rPr>
          <w:rFonts w:ascii="Arial" w:eastAsia="Times New Roman" w:hAnsi="Arial" w:cs="Arial"/>
          <w:color w:val="000000"/>
          <w:sz w:val="20"/>
          <w:szCs w:val="20"/>
          <w:bdr w:val="none" w:sz="0" w:space="0" w:color="auto" w:frame="1"/>
          <w:lang w:eastAsia="en-GB"/>
        </w:rPr>
        <w:t>Atrašanās vieta: Raiņa bulvārī 15, Rīgā, LV-1050</w:t>
      </w:r>
    </w:p>
    <w:p w14:paraId="05BDCE55" w14:textId="77777777" w:rsidR="00D25C1D" w:rsidRPr="00D25C1D" w:rsidRDefault="00D25C1D" w:rsidP="00D25C1D">
      <w:pPr>
        <w:textAlignment w:val="baseline"/>
        <w:rPr>
          <w:rFonts w:ascii="Calibri" w:eastAsia="Times New Roman" w:hAnsi="Calibri" w:cs="Calibri"/>
          <w:color w:val="000000"/>
          <w:sz w:val="22"/>
          <w:szCs w:val="22"/>
          <w:lang w:eastAsia="en-GB"/>
        </w:rPr>
      </w:pPr>
      <w:r w:rsidRPr="00D25C1D">
        <w:rPr>
          <w:rFonts w:ascii="Calibri" w:eastAsia="Times New Roman" w:hAnsi="Calibri" w:cs="Calibri"/>
          <w:color w:val="000000"/>
          <w:sz w:val="22"/>
          <w:szCs w:val="22"/>
          <w:bdr w:val="none" w:sz="0" w:space="0" w:color="auto" w:frame="1"/>
          <w:lang w:eastAsia="en-GB"/>
        </w:rPr>
        <w:t> </w:t>
      </w:r>
    </w:p>
    <w:p w14:paraId="1777F333"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1D"/>
    <w:rsid w:val="00177D7C"/>
    <w:rsid w:val="003922C6"/>
    <w:rsid w:val="00821BED"/>
    <w:rsid w:val="0089225F"/>
    <w:rsid w:val="00D25C1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C899"/>
  <w15:chartTrackingRefBased/>
  <w15:docId w15:val="{C3111323-2041-084D-902B-53E23A6F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25C1D"/>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D25C1D"/>
    <w:rPr>
      <w:color w:val="0000FF"/>
      <w:u w:val="single"/>
    </w:rPr>
  </w:style>
  <w:style w:type="paragraph" w:customStyle="1" w:styleId="xmsonospacing">
    <w:name w:val="x_msonospacing"/>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customStyle="1" w:styleId="xmsonormal">
    <w:name w:val="x_msonormal"/>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customStyle="1" w:styleId="xxxmsonormal">
    <w:name w:val="x_xxmsonormal"/>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D25C1D"/>
    <w:pPr>
      <w:spacing w:before="100" w:beforeAutospacing="1" w:after="100" w:afterAutospacing="1"/>
    </w:pPr>
    <w:rPr>
      <w:rFonts w:ascii="Times New Roman" w:eastAsia="Times New Roman" w:hAnsi="Times New Roman" w:cs="Times New Roman"/>
      <w:lang w:val="en-LV" w:eastAsia="en-GB"/>
    </w:rPr>
  </w:style>
  <w:style w:type="character" w:customStyle="1" w:styleId="xcontentpasted0">
    <w:name w:val="x_contentpasted0"/>
    <w:basedOn w:val="DefaultParagraphFont"/>
    <w:rsid w:val="00D25C1D"/>
  </w:style>
  <w:style w:type="paragraph" w:customStyle="1" w:styleId="xxmsonormal">
    <w:name w:val="x_xmsonormal"/>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customStyle="1" w:styleId="xxxxmsonormal">
    <w:name w:val="x_xxxmsonormal"/>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customStyle="1" w:styleId="xxxxxxmsonormal">
    <w:name w:val="x_xxxxxmsonormal"/>
    <w:basedOn w:val="Normal"/>
    <w:rsid w:val="00D25C1D"/>
    <w:pPr>
      <w:spacing w:before="100" w:beforeAutospacing="1" w:after="100" w:afterAutospacing="1"/>
    </w:pPr>
    <w:rPr>
      <w:rFonts w:ascii="Times New Roman" w:eastAsia="Times New Roman" w:hAnsi="Times New Roman" w:cs="Times New Roman"/>
      <w:lang w:val="en-LV" w:eastAsia="en-GB"/>
    </w:rPr>
  </w:style>
  <w:style w:type="paragraph" w:customStyle="1" w:styleId="elementtoproof">
    <w:name w:val="elementtoproof"/>
    <w:basedOn w:val="Normal"/>
    <w:rsid w:val="00D25C1D"/>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655819">
      <w:bodyDiv w:val="1"/>
      <w:marLeft w:val="0"/>
      <w:marRight w:val="0"/>
      <w:marTop w:val="0"/>
      <w:marBottom w:val="0"/>
      <w:divBdr>
        <w:top w:val="none" w:sz="0" w:space="0" w:color="auto"/>
        <w:left w:val="none" w:sz="0" w:space="0" w:color="auto"/>
        <w:bottom w:val="none" w:sz="0" w:space="0" w:color="auto"/>
        <w:right w:val="none" w:sz="0" w:space="0" w:color="auto"/>
      </w:divBdr>
      <w:divsChild>
        <w:div w:id="964968553">
          <w:marLeft w:val="0"/>
          <w:marRight w:val="0"/>
          <w:marTop w:val="0"/>
          <w:marBottom w:val="0"/>
          <w:divBdr>
            <w:top w:val="none" w:sz="0" w:space="0" w:color="auto"/>
            <w:left w:val="none" w:sz="0" w:space="0" w:color="auto"/>
            <w:bottom w:val="none" w:sz="0" w:space="0" w:color="auto"/>
            <w:right w:val="none" w:sz="0" w:space="0" w:color="auto"/>
          </w:divBdr>
          <w:divsChild>
            <w:div w:id="394280049">
              <w:marLeft w:val="0"/>
              <w:marRight w:val="0"/>
              <w:marTop w:val="0"/>
              <w:marBottom w:val="0"/>
              <w:divBdr>
                <w:top w:val="none" w:sz="0" w:space="0" w:color="auto"/>
                <w:left w:val="none" w:sz="0" w:space="0" w:color="auto"/>
                <w:bottom w:val="none" w:sz="0" w:space="0" w:color="auto"/>
                <w:right w:val="none" w:sz="0" w:space="0" w:color="auto"/>
              </w:divBdr>
            </w:div>
            <w:div w:id="1406099918">
              <w:marLeft w:val="0"/>
              <w:marRight w:val="0"/>
              <w:marTop w:val="0"/>
              <w:marBottom w:val="0"/>
              <w:divBdr>
                <w:top w:val="none" w:sz="0" w:space="0" w:color="auto"/>
                <w:left w:val="none" w:sz="0" w:space="0" w:color="auto"/>
                <w:bottom w:val="none" w:sz="0" w:space="0" w:color="auto"/>
                <w:right w:val="none" w:sz="0" w:space="0" w:color="auto"/>
              </w:divBdr>
              <w:divsChild>
                <w:div w:id="13299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95070">
          <w:marLeft w:val="0"/>
          <w:marRight w:val="0"/>
          <w:marTop w:val="0"/>
          <w:marBottom w:val="0"/>
          <w:divBdr>
            <w:top w:val="none" w:sz="0" w:space="0" w:color="auto"/>
            <w:left w:val="none" w:sz="0" w:space="0" w:color="auto"/>
            <w:bottom w:val="none" w:sz="0" w:space="0" w:color="auto"/>
            <w:right w:val="none" w:sz="0" w:space="0" w:color="auto"/>
          </w:divBdr>
        </w:div>
        <w:div w:id="1526023176">
          <w:marLeft w:val="0"/>
          <w:marRight w:val="0"/>
          <w:marTop w:val="0"/>
          <w:marBottom w:val="0"/>
          <w:divBdr>
            <w:top w:val="none" w:sz="0" w:space="0" w:color="auto"/>
            <w:left w:val="none" w:sz="0" w:space="0" w:color="auto"/>
            <w:bottom w:val="none" w:sz="0" w:space="0" w:color="auto"/>
            <w:right w:val="none" w:sz="0" w:space="0" w:color="auto"/>
          </w:divBdr>
          <w:divsChild>
            <w:div w:id="543718641">
              <w:marLeft w:val="0"/>
              <w:marRight w:val="0"/>
              <w:marTop w:val="0"/>
              <w:marBottom w:val="0"/>
              <w:divBdr>
                <w:top w:val="none" w:sz="0" w:space="0" w:color="auto"/>
                <w:left w:val="none" w:sz="0" w:space="0" w:color="auto"/>
                <w:bottom w:val="none" w:sz="0" w:space="0" w:color="auto"/>
                <w:right w:val="none" w:sz="0" w:space="0" w:color="auto"/>
              </w:divBdr>
            </w:div>
          </w:divsChild>
        </w:div>
        <w:div w:id="857545302">
          <w:marLeft w:val="0"/>
          <w:marRight w:val="0"/>
          <w:marTop w:val="0"/>
          <w:marBottom w:val="0"/>
          <w:divBdr>
            <w:top w:val="none" w:sz="0" w:space="0" w:color="auto"/>
            <w:left w:val="none" w:sz="0" w:space="0" w:color="auto"/>
            <w:bottom w:val="none" w:sz="0" w:space="0" w:color="auto"/>
            <w:right w:val="none" w:sz="0" w:space="0" w:color="auto"/>
          </w:divBdr>
          <w:divsChild>
            <w:div w:id="274872889">
              <w:marLeft w:val="0"/>
              <w:marRight w:val="0"/>
              <w:marTop w:val="0"/>
              <w:marBottom w:val="0"/>
              <w:divBdr>
                <w:top w:val="none" w:sz="0" w:space="0" w:color="auto"/>
                <w:left w:val="none" w:sz="0" w:space="0" w:color="auto"/>
                <w:bottom w:val="none" w:sz="0" w:space="0" w:color="auto"/>
                <w:right w:val="none" w:sz="0" w:space="0" w:color="auto"/>
              </w:divBdr>
              <w:divsChild>
                <w:div w:id="485366631">
                  <w:marLeft w:val="0"/>
                  <w:marRight w:val="0"/>
                  <w:marTop w:val="0"/>
                  <w:marBottom w:val="0"/>
                  <w:divBdr>
                    <w:top w:val="none" w:sz="0" w:space="0" w:color="auto"/>
                    <w:left w:val="none" w:sz="0" w:space="0" w:color="auto"/>
                    <w:bottom w:val="none" w:sz="0" w:space="0" w:color="auto"/>
                    <w:right w:val="none" w:sz="0" w:space="0" w:color="auto"/>
                  </w:divBdr>
                  <w:divsChild>
                    <w:div w:id="347415045">
                      <w:marLeft w:val="0"/>
                      <w:marRight w:val="0"/>
                      <w:marTop w:val="0"/>
                      <w:marBottom w:val="0"/>
                      <w:divBdr>
                        <w:top w:val="single" w:sz="8" w:space="3" w:color="E1E1E1"/>
                        <w:left w:val="none" w:sz="0" w:space="0" w:color="auto"/>
                        <w:bottom w:val="none" w:sz="0" w:space="0" w:color="auto"/>
                        <w:right w:val="none" w:sz="0" w:space="0" w:color="auto"/>
                      </w:divBdr>
                    </w:div>
                  </w:divsChild>
                </w:div>
                <w:div w:id="1180850967">
                  <w:marLeft w:val="0"/>
                  <w:marRight w:val="0"/>
                  <w:marTop w:val="0"/>
                  <w:marBottom w:val="0"/>
                  <w:divBdr>
                    <w:top w:val="none" w:sz="0" w:space="0" w:color="auto"/>
                    <w:left w:val="none" w:sz="0" w:space="0" w:color="auto"/>
                    <w:bottom w:val="none" w:sz="0" w:space="0" w:color="auto"/>
                    <w:right w:val="none" w:sz="0" w:space="0" w:color="auto"/>
                  </w:divBdr>
                </w:div>
                <w:div w:id="1133866883">
                  <w:marLeft w:val="0"/>
                  <w:marRight w:val="0"/>
                  <w:marTop w:val="0"/>
                  <w:marBottom w:val="0"/>
                  <w:divBdr>
                    <w:top w:val="none" w:sz="0" w:space="0" w:color="auto"/>
                    <w:left w:val="none" w:sz="0" w:space="0" w:color="auto"/>
                    <w:bottom w:val="none" w:sz="0" w:space="0" w:color="auto"/>
                    <w:right w:val="none" w:sz="0" w:space="0" w:color="auto"/>
                  </w:divBdr>
                  <w:divsChild>
                    <w:div w:id="536165490">
                      <w:marLeft w:val="0"/>
                      <w:marRight w:val="0"/>
                      <w:marTop w:val="0"/>
                      <w:marBottom w:val="0"/>
                      <w:divBdr>
                        <w:top w:val="none" w:sz="0" w:space="0" w:color="auto"/>
                        <w:left w:val="none" w:sz="0" w:space="0" w:color="auto"/>
                        <w:bottom w:val="none" w:sz="0" w:space="0" w:color="auto"/>
                        <w:right w:val="none" w:sz="0" w:space="0" w:color="auto"/>
                      </w:divBdr>
                    </w:div>
                    <w:div w:id="1855193217">
                      <w:marLeft w:val="0"/>
                      <w:marRight w:val="0"/>
                      <w:marTop w:val="0"/>
                      <w:marBottom w:val="0"/>
                      <w:divBdr>
                        <w:top w:val="none" w:sz="0" w:space="0" w:color="auto"/>
                        <w:left w:val="none" w:sz="0" w:space="0" w:color="auto"/>
                        <w:bottom w:val="none" w:sz="0" w:space="0" w:color="auto"/>
                        <w:right w:val="none" w:sz="0" w:space="0" w:color="auto"/>
                      </w:divBdr>
                      <w:divsChild>
                        <w:div w:id="773016435">
                          <w:marLeft w:val="0"/>
                          <w:marRight w:val="0"/>
                          <w:marTop w:val="0"/>
                          <w:marBottom w:val="0"/>
                          <w:divBdr>
                            <w:top w:val="none" w:sz="0" w:space="0" w:color="auto"/>
                            <w:left w:val="none" w:sz="0" w:space="0" w:color="auto"/>
                            <w:bottom w:val="none" w:sz="0" w:space="0" w:color="auto"/>
                            <w:right w:val="none" w:sz="0" w:space="0" w:color="auto"/>
                          </w:divBdr>
                          <w:divsChild>
                            <w:div w:id="10956914">
                              <w:marLeft w:val="0"/>
                              <w:marRight w:val="0"/>
                              <w:marTop w:val="0"/>
                              <w:marBottom w:val="0"/>
                              <w:divBdr>
                                <w:top w:val="none" w:sz="0" w:space="0" w:color="auto"/>
                                <w:left w:val="none" w:sz="0" w:space="0" w:color="auto"/>
                                <w:bottom w:val="none" w:sz="0" w:space="0" w:color="auto"/>
                                <w:right w:val="none" w:sz="0" w:space="0" w:color="auto"/>
                              </w:divBdr>
                              <w:divsChild>
                                <w:div w:id="284233198">
                                  <w:marLeft w:val="0"/>
                                  <w:marRight w:val="0"/>
                                  <w:marTop w:val="0"/>
                                  <w:marBottom w:val="0"/>
                                  <w:divBdr>
                                    <w:top w:val="none" w:sz="0" w:space="0" w:color="auto"/>
                                    <w:left w:val="none" w:sz="0" w:space="0" w:color="auto"/>
                                    <w:bottom w:val="none" w:sz="0" w:space="0" w:color="auto"/>
                                    <w:right w:val="none" w:sz="0" w:space="0" w:color="auto"/>
                                  </w:divBdr>
                                  <w:divsChild>
                                    <w:div w:id="519586204">
                                      <w:marLeft w:val="0"/>
                                      <w:marRight w:val="0"/>
                                      <w:marTop w:val="0"/>
                                      <w:marBottom w:val="0"/>
                                      <w:divBdr>
                                        <w:top w:val="none" w:sz="0" w:space="0" w:color="auto"/>
                                        <w:left w:val="none" w:sz="0" w:space="0" w:color="auto"/>
                                        <w:bottom w:val="none" w:sz="0" w:space="0" w:color="auto"/>
                                        <w:right w:val="none" w:sz="0" w:space="0" w:color="auto"/>
                                      </w:divBdr>
                                      <w:divsChild>
                                        <w:div w:id="750275610">
                                          <w:marLeft w:val="0"/>
                                          <w:marRight w:val="0"/>
                                          <w:marTop w:val="0"/>
                                          <w:marBottom w:val="0"/>
                                          <w:divBdr>
                                            <w:top w:val="none" w:sz="0" w:space="0" w:color="auto"/>
                                            <w:left w:val="none" w:sz="0" w:space="0" w:color="auto"/>
                                            <w:bottom w:val="none" w:sz="0" w:space="0" w:color="auto"/>
                                            <w:right w:val="none" w:sz="0" w:space="0" w:color="auto"/>
                                          </w:divBdr>
                                          <w:divsChild>
                                            <w:div w:id="21189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785">
                          <w:marLeft w:val="0"/>
                          <w:marRight w:val="0"/>
                          <w:marTop w:val="0"/>
                          <w:marBottom w:val="0"/>
                          <w:divBdr>
                            <w:top w:val="none" w:sz="0" w:space="0" w:color="auto"/>
                            <w:left w:val="none" w:sz="0" w:space="0" w:color="auto"/>
                            <w:bottom w:val="none" w:sz="0" w:space="0" w:color="auto"/>
                            <w:right w:val="none" w:sz="0" w:space="0" w:color="auto"/>
                          </w:divBdr>
                          <w:divsChild>
                            <w:div w:id="453406110">
                              <w:marLeft w:val="0"/>
                              <w:marRight w:val="0"/>
                              <w:marTop w:val="0"/>
                              <w:marBottom w:val="0"/>
                              <w:divBdr>
                                <w:top w:val="none" w:sz="0" w:space="0" w:color="auto"/>
                                <w:left w:val="none" w:sz="0" w:space="0" w:color="auto"/>
                                <w:bottom w:val="none" w:sz="0" w:space="0" w:color="auto"/>
                                <w:right w:val="none" w:sz="0" w:space="0" w:color="auto"/>
                              </w:divBdr>
                              <w:divsChild>
                                <w:div w:id="226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694418">
                      <w:marLeft w:val="0"/>
                      <w:marRight w:val="0"/>
                      <w:marTop w:val="0"/>
                      <w:marBottom w:val="0"/>
                      <w:divBdr>
                        <w:top w:val="none" w:sz="0" w:space="0" w:color="auto"/>
                        <w:left w:val="none" w:sz="0" w:space="0" w:color="auto"/>
                        <w:bottom w:val="none" w:sz="0" w:space="0" w:color="auto"/>
                        <w:right w:val="none" w:sz="0" w:space="0" w:color="auto"/>
                      </w:divBdr>
                    </w:div>
                    <w:div w:id="286357457">
                      <w:marLeft w:val="0"/>
                      <w:marRight w:val="0"/>
                      <w:marTop w:val="0"/>
                      <w:marBottom w:val="0"/>
                      <w:divBdr>
                        <w:top w:val="none" w:sz="0" w:space="0" w:color="auto"/>
                        <w:left w:val="none" w:sz="0" w:space="0" w:color="auto"/>
                        <w:bottom w:val="none" w:sz="0" w:space="0" w:color="auto"/>
                        <w:right w:val="none" w:sz="0" w:space="0" w:color="auto"/>
                      </w:divBdr>
                      <w:divsChild>
                        <w:div w:id="1758331951">
                          <w:marLeft w:val="0"/>
                          <w:marRight w:val="0"/>
                          <w:marTop w:val="0"/>
                          <w:marBottom w:val="0"/>
                          <w:divBdr>
                            <w:top w:val="none" w:sz="0" w:space="0" w:color="auto"/>
                            <w:left w:val="none" w:sz="0" w:space="0" w:color="auto"/>
                            <w:bottom w:val="none" w:sz="0" w:space="0" w:color="auto"/>
                            <w:right w:val="none" w:sz="0" w:space="0" w:color="auto"/>
                          </w:divBdr>
                          <w:divsChild>
                            <w:div w:id="1086998275">
                              <w:marLeft w:val="0"/>
                              <w:marRight w:val="0"/>
                              <w:marTop w:val="0"/>
                              <w:marBottom w:val="0"/>
                              <w:divBdr>
                                <w:top w:val="none" w:sz="0" w:space="0" w:color="auto"/>
                                <w:left w:val="none" w:sz="0" w:space="0" w:color="auto"/>
                                <w:bottom w:val="none" w:sz="0" w:space="0" w:color="auto"/>
                                <w:right w:val="none" w:sz="0" w:space="0" w:color="auto"/>
                              </w:divBdr>
                              <w:divsChild>
                                <w:div w:id="1309358281">
                                  <w:marLeft w:val="0"/>
                                  <w:marRight w:val="0"/>
                                  <w:marTop w:val="0"/>
                                  <w:marBottom w:val="0"/>
                                  <w:divBdr>
                                    <w:top w:val="none" w:sz="0" w:space="0" w:color="auto"/>
                                    <w:left w:val="none" w:sz="0" w:space="0" w:color="auto"/>
                                    <w:bottom w:val="none" w:sz="0" w:space="0" w:color="auto"/>
                                    <w:right w:val="none" w:sz="0" w:space="0" w:color="auto"/>
                                  </w:divBdr>
                                </w:div>
                                <w:div w:id="2113628162">
                                  <w:marLeft w:val="0"/>
                                  <w:marRight w:val="0"/>
                                  <w:marTop w:val="0"/>
                                  <w:marBottom w:val="0"/>
                                  <w:divBdr>
                                    <w:top w:val="none" w:sz="0" w:space="0" w:color="auto"/>
                                    <w:left w:val="none" w:sz="0" w:space="0" w:color="auto"/>
                                    <w:bottom w:val="none" w:sz="0" w:space="0" w:color="auto"/>
                                    <w:right w:val="none" w:sz="0" w:space="0" w:color="auto"/>
                                  </w:divBdr>
                                </w:div>
                                <w:div w:id="1577860145">
                                  <w:marLeft w:val="0"/>
                                  <w:marRight w:val="0"/>
                                  <w:marTop w:val="0"/>
                                  <w:marBottom w:val="0"/>
                                  <w:divBdr>
                                    <w:top w:val="none" w:sz="0" w:space="0" w:color="auto"/>
                                    <w:left w:val="none" w:sz="0" w:space="0" w:color="auto"/>
                                    <w:bottom w:val="none" w:sz="0" w:space="0" w:color="auto"/>
                                    <w:right w:val="none" w:sz="0" w:space="0" w:color="auto"/>
                                  </w:divBdr>
                                  <w:divsChild>
                                    <w:div w:id="991982629">
                                      <w:marLeft w:val="0"/>
                                      <w:marRight w:val="0"/>
                                      <w:marTop w:val="0"/>
                                      <w:marBottom w:val="0"/>
                                      <w:divBdr>
                                        <w:top w:val="none" w:sz="0" w:space="0" w:color="auto"/>
                                        <w:left w:val="none" w:sz="0" w:space="0" w:color="auto"/>
                                        <w:bottom w:val="none" w:sz="0" w:space="0" w:color="auto"/>
                                        <w:right w:val="none" w:sz="0" w:space="0" w:color="auto"/>
                                      </w:divBdr>
                                      <w:divsChild>
                                        <w:div w:id="1992588792">
                                          <w:marLeft w:val="0"/>
                                          <w:marRight w:val="0"/>
                                          <w:marTop w:val="0"/>
                                          <w:marBottom w:val="0"/>
                                          <w:divBdr>
                                            <w:top w:val="none" w:sz="0" w:space="0" w:color="auto"/>
                                            <w:left w:val="none" w:sz="0" w:space="0" w:color="auto"/>
                                            <w:bottom w:val="none" w:sz="0" w:space="0" w:color="auto"/>
                                            <w:right w:val="none" w:sz="0" w:space="0" w:color="auto"/>
                                          </w:divBdr>
                                          <w:divsChild>
                                            <w:div w:id="11860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2022-12-22T08:28:00Z</dcterms:created>
  <dcterms:modified xsi:type="dcterms:W3CDTF">2022-12-22T08:29:00Z</dcterms:modified>
</cp:coreProperties>
</file>