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26. maija noteikumos Nr. 259 "Atbalsta piešķiršanas kārtība dalībai starptautiskās sadarbības programmās pētniecības un tehnoloģiju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demarkāciju vai dubultā finansējuma riska kontroli attiecībā uz līdzīgu pētniecības un attīstības atbalstu Atveseļošanas fonda investīcijās un ES kohēzijas politikas programmas 2021. - 2027.gadam pasākumos. Norādām uz Atveseļošanas fonda līdzfinansējumu programmā "</w:t>
            </w:r>
            <w:r w:rsidR="00000000" w:rsidRPr="00000000" w:rsidDel="00000000">
              <w:rPr>
                <w:i w:val="1"/>
                <w:rtl w:val="0"/>
              </w:rPr>
              <w:t xml:space="preserve">Important Project of Common European Interest</w:t>
            </w:r>
            <w:r w:rsidR="00000000" w:rsidRPr="00000000" w:rsidDel="00000000">
              <w:rPr>
                <w:rtl w:val="0"/>
              </w:rPr>
              <w:t xml:space="preserve">" (IPCEI)- Eiropai svarīgo kopīgo interešu programmā, mikroelektronikas un komunikācijas tehnoloģiju pētniecības projektā (5.1.1.2.i. investīcijas 4.kārta).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saskaņot MK noteikumu projektu ar Ekonomikas ministriju kā uzņēmējdarbības un jaunu produktu izstrādes atbalsta programmu atbildīgo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nav dalībniece ne pirmajā, ne otrajā Eiropai svarīgo kopīgo interešu projektā mikroelektronikas un komunikāciju tehnoloģiju jomā. Otrajā IPCEI kā asociētais partneris ir Latvijas Mobilais telefons, kas varētu pieprasīt finansējumu no Atveseļošanās fonda savām darbībām IPCEI projektā. Līdz ar to, piešķirot atbalstu saskaņā ar MK Noteikumiem 259 Kopuzņēmuma "Mikroshēmas" tādiem dalībniekiem, kas var saņemt atbalstu IPCEI projektiem no Atveseļošanās fonda vai cita Eiropas Savienības vai publiskā instrumenta, ir veicama pārbaude par dubultā finansējuma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259 3.2 apakšpunktā nosaka, ka uzņēmums savu pamatdarbību veic un projektu īsteno Latvijas Republikas teritorijā, uzņēmumus ar pamatdarbību ārpus Latvijas Republikas atbalstīt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kopuzņēmums projektus pārvalda centralizēti, tiek arī identificēti, kuri ir tieši IPCEI projekti, kas atbalstīti Kopuzņēmumā "Mikroshēmas" un to attiecīgi iespējams pārbaudīt, vai šāds projekts Latvijā saņem atbalstu arī no 5.1.1.2.i. investīcijas 4.kārtas.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arī uzmanību uz to, ka IPCEI projekti nav pamata pasākumu darbības joma, bet papildus pasākumu darbības joma, savukārt no MK Noteikumiem 259 atbalsta pašus pētniecības projektus, nevis dažādas papildus komplementāras atbalsta aktivitātes. Lēmumam par atbalstu papildus pasākumiem atzinumu sniedz Publisko iestāžu padome, tātad Latvijas pārstāvis (IZM, LZP) ir informēts par atbalstu IPCEI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MK Noteikumu 259 ietvaros piešķir Komisija 19. punkta kārtībā. Komisijā ir Ekonomikas ministrijas un LIAA pārstāvis. Komisija saņem apstiprināmo projektu informāciju pirms sēdes. Līdz ar to EM un LIAA ziņo Komisijas sēdē, ja pastāv šāda pārklāšanās.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259 jau ietver 7.8, 7.9, 7.10, 7.11 apakšpunktus par nepārklāšanos finansējuma avotu līmenī vai atbalsta līmenī (de minimis), kuru pārbaudi veic padome pret projektu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izmaksu pārbaude notiek pēc pilnas dokumentācijas, arī veicot pārbaudes projekta izpildes vietā. Padome var pieprasīt zvērināta revidenta atzinumu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Dubultfinansējuma izslēgšanai atbilstoši MK noteikumu 7.8 apakšpunktam Padome veic visu izmaksu pārbaudi, ne tikai to, kas ir finansētas no valsts līdzfinansējuma vai valsts atbalsta, lai tās pašas izmaksas nedeklarētu pret MK noteikumu ietvarā piešķirto finansējumu un vienlaicīgi pret kopuzņēmumu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dalībai starptautiskās sadarbības programmās pētniecības un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paredz papildināt Ministru kabineta 2015. gada 26. maija noteikumus Nr. 259 "Atbalsta piešķiršanas kārtība dalībai starptautiskās sadarbības programmās pētniecības un tehnoloģiju jomā" ar atsauci uz Padomes 2023. gada 25. jūlija Regulu (ES) Nr. 2023/1782, ar kuru groza Regulu (ES) 2021/2085, ar ko izveido kopuzņēmumus pamatprogrammā “Apvārsnis Eiropa”, attiecībā uz kopuzņēmumu “Mikroshēmas”, lai Latvijas zinātniskās institūcijas un uzņēmumi varētu iesniegt un ieviest projektus kopuzņēmuma "Mikroshēmas" projektu konkursos, nodrošinot atbilstošo līdzfinansējumu, norādām, ka anotācija nesniedz patiesu informāciju par tā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 ir papildināma ar informāciju, vai/kad Ministru kabinetā ir ticis pieņemts lēmums par piedalīšanos minētajā kopuzņēmumā, norādot detalizētu informāciju par Latvijas ieguvumiem no piedalīšanās šajā kopuzņēmumā, kā arī potenciālo ietekmi uz valsts budžetu valsts līdzfinansējuma un valsts atbalsta nodrošināšanai. Ņemot vērā minēto, Ministru kabineta noteikumu projekta anotācija ir papildināma ar informāciju par tā potenciālo ietekmi uz valsts budžetu, pievienojot detalizētus aprēķinus un norādot finansējuma avotu, kā arī ar informāciju par Latvijas valsts ieguvumiem no dalības minētajā kopuzņēmumā. Attiecīgi ir aizpildāma arī anotācijas 3.sadaļa “Tiesību akta ietekme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piedalās kopuzņēmumā, jo Padomes 2023. gada 25. jūlija Regulu (ES) Nr. 2023/1782 piemēro tieši, kā arī tās mainīto  Regulu (ES) Nr. 2021/2085. Latvijas Republika nav izteikusi prasību ES Padomē piemērot īpašu regulējumu attiecībā uz Latvijas Republiku, un šī Regula darbojas Eiropas Savienībā un Eiropas Ekonomiskajā zonā uz vienādiem nosacījumiem. Attiecībā uz līdzfinansējumu, tas tiek noteikts konkrētam konkursam pieejamā finansējuma ietvaros, izvērtējot tematikas nozīmīgumu un dalībnieku konkurētspēju šo MK noteikumu Nr 259 19.2 apakšpunkta kārtībā. Attiecībā uz potenciālo ietekmi uz valsts budžetu valsts līdzfinansējuma un valsts atbalsta nodrošināšanai, skaidrojam, ka ar grozījumiem nerada jaunu finansēšanas instrumentu un nepieprasa papildu finansējumu, bet finansējumu piešķir saskaņā ar šo MK noteikumu 5.1  apakšpunktu: "Atbalstu piešķir: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dotāciju veidā no Izglītības un zinātnes ministrijas valsts budžeta programmas 70.00.00 "Citu Eiropas Savienības politiku instrumentu projektu un pasākumu īstenošana" apakšprogrammas 70.06.00 "Dalība Eiropas Savienības pētniecības un tehnoloģiju attīstības programmās" kārtējam gadam valsts budžetā šim mērķim pieejamo resursu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mikroshēmu nozares nozīmību Eiropas Parlamenta un Padomes Regula (ES) 2023/1781 nosaka šīs jomas prioritāro raksturu Eiropas Savienībā, tai skaitā dažādu krīžu un apdraudējumu risināšanā, kas ir būtiski pieauguši pēc karadarbības uzsākšanas Ukrainā. Latvijas Republikā ir parakstīts 2022. gada 29. novembra memorands Latvijas spēju attīstībai elektronikas ražošanai nepieciešamo mikroshēmu piegādes ķēdēs. Dalība kopuzņēmumā ir būtisks elements Latvijas Republikas konkurētspējas attīstībai mikroshēmu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nozares svarīguma izpēti skat https://www.em.gov.lv/lv/pusvaditaju-mikroshemu-nozare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anotāciju - papildināta anotācijas 3.sadaļa “Tiesību akta ietekme uz valsts budžetu un pašvaldību budžetiem” ar potenciālo ietekmi uz valsts budžetu valsts līdzfinansējuma un valsts atbalsta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izglītības pasākumi, lai panāktu personāla skaita un kvalifikācijas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noteikumu 3.6.1.apakšpunkta šobrīd var nekorekti nolasīt, ka šo noteikumu ietvaros ar darbību, kurai nav saimnieciska rakstura, saprot arī darbaspēka apmācības, lūdzam precizēt normu, lai nodrošinātu tās atbilstību Komisijas paziņojuma "Pētniecībai, izstrādei un inovācijai piešķiramā valsts atbalsta nostādnes"(2022/C 414/01) (turpmāk - Komisijas paziņojums) 20.(a) (i) punktam (skat., piemēram, Ministru kabineta 2023.gada 19.decembra noteikumu Nr.811 "Eiropas Savienības kohēzijas politikas programmas 2021.–2027.gadam 1.1.1. specifiskā atbalsta mērķa "Pētniecības un inovāciju kapacitātes stiprināšana un progresīvu tehnoloģiju ieviešana kopējā P&amp;A sistēmā" 1.1.1.8.pasākuma "Doktorantūras granti" īstenošanas noteikumi" 2.2.1.apakšpunktu).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saskaņotību ar Komisijas paziņojuma "Pētniecībai, izstrādei un inovācijai piešķiramā valsts atbalsta nostādnes"(2022/C 414/01) (turpmāk - Komisijas paziņojums) 20.(a) i)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publiska izglītība, kuras mērķis ir vairot un uzlabot cilvēkresursu prasmes un kas tiek nodrošināta valsts izglītības sistēmas ietvaros un galvenokārt vai pilnībā ir valsts finansēta un uzraudzīta;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pētniecības rezultātu izplatīšana, piemēram, izmantojot mācību procesu, brīvas piekļuves datubāzes, atklātās publikācijas vai atklātā pirmkoda programmatūru;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3.6.3.apakšpunktu atbilstoši Komisijas paziņojuma 20.punkta a) apakšpunkta iii) apakšpunktam, paredzot, ka pētniecības rezultātu plaša izplatīšanu bez ekskluzivitātes un diskriminēšanas.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pētniecības rezultātu plaša izplatīšana bez ekskluzivitātes un diskriminēšanas, piemēram, izmantojot mācību procesu, brīvas piekļuves datubāzes, atklātās publikācijas vai atklātā pirmkoda programmatūru;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godīga konkurence – konkurence, kas atbilst regulas Nr.  </w:t>
            </w:r>
            <w:r w:rsidR="00000000" w:rsidRPr="00000000" w:rsidDel="00000000">
              <w:rPr>
                <w:rtl w:val="0"/>
              </w:rPr>
              <w:t xml:space="preserve">651/2014</w:t>
            </w:r>
            <w:r w:rsidR="00000000" w:rsidRPr="00000000" w:rsidDel="00000000">
              <w:rPr>
                <w:rtl w:val="0"/>
              </w:rPr>
              <w:t xml:space="preserve"> 2. panta 89.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grozīta Komisijas 2014.gada 17.jūnija regula (ES) Nr. 651/2014, ar ko noteiktas atbalsta kategorijas atzīst par saderīgām ar iekšējo tirgu, piemērojot Līguma 107. un 108. pantu (turpmāk - Komisijas regula Nr.651/2014) un spēkā esošajā redakcijā termina "godīga konkurence" definīcija ir ietverta nevis Komisijas regulas Nr.651/2014 89.punktā, bet gan 39.a) punktā, lūdzam attiecīgi precizēt noteikumu 3.16.apakšpunktu.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godīga konkurence – konkurence, kas atbilst regulas Nr. </w:t>
            </w:r>
            <w:r w:rsidR="00000000" w:rsidRPr="00000000" w:rsidDel="00000000">
              <w:rPr>
                <w:rtl w:val="0"/>
              </w:rPr>
              <w:t xml:space="preserve">651/2014</w:t>
            </w:r>
            <w:r w:rsidR="00000000" w:rsidRPr="00000000" w:rsidDel="00000000">
              <w:rPr>
                <w:rtl w:val="0"/>
              </w:rPr>
              <w:t xml:space="preserve"> 2. panta 39.a) punktā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uz atbalsta pretendentu neattiecas līdzekļu atgūšanas rīkojums atbilstoši regulas Nr.  </w:t>
            </w:r>
            <w:r w:rsidR="00000000" w:rsidRPr="00000000" w:rsidDel="00000000">
              <w:rPr>
                <w:rtl w:val="0"/>
              </w:rPr>
              <w:t xml:space="preserve">651/2014</w:t>
            </w:r>
            <w:r w:rsidR="00000000" w:rsidRPr="00000000" w:rsidDel="00000000">
              <w:rPr>
                <w:rtl w:val="0"/>
              </w:rPr>
              <w:t xml:space="preserve"> 1. panta 4. punkta "a" apakšpunktam, ja viņš pretendē uz valsts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Komisijas regulas Nr.651/2014 1.panta 4.punkta nosacījumi ir jāvērtē/jāpiemēro uzņēmumam grupas līmenī (Komisijas regulas Nr.651/2014 angliskajā versijā nosacījumi, kas ir attiecināmi uz ‘undertaking’, ir jāpārbauda/jāpiemēro uzņēmuma grupas līmenī). Attiecīgi skaidrojam, ka, veicot noteikumu 7.3.apakšpunktā noteiktās prasības pārbaudi, ar atbalsta pretendentu atbilstoši noteikumu 3.2. un 3.7.apakšpunktam saprot uzņēmumu, kas vērtējams, tai skaitā saistīto uzņēmumu grupas līmenī. Lūdzam attiecīgi precizēt noteikumu 7.3. apakšpunktu un ar attiecīgu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uz atbalsta pretendentu, tai skaitā saistīto uzņēmumu grupas līmenī, neattiecas līdzekļu atgūšanas rīkojums atbilstoši regulas Nr. </w:t>
            </w:r>
            <w:r w:rsidR="00000000" w:rsidRPr="00000000" w:rsidDel="00000000">
              <w:rPr>
                <w:rtl w:val="0"/>
              </w:rPr>
              <w:t xml:space="preserve">651/2014</w:t>
            </w:r>
            <w:r w:rsidR="00000000" w:rsidRPr="00000000" w:rsidDel="00000000">
              <w:rPr>
                <w:rtl w:val="0"/>
              </w:rPr>
              <w:t xml:space="preserve"> 1. panta 4. punkta "a" apakšpunktam, ja viņš pretendē uz valsts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ja tiek saņemts valsts atbalsts, tas nav grūtībās nonācis uzņēmums atbilstoši regulas Nr.  </w:t>
            </w:r>
            <w:r w:rsidR="00000000" w:rsidRPr="00000000" w:rsidDel="00000000">
              <w:rPr>
                <w:rtl w:val="0"/>
              </w:rPr>
              <w:t xml:space="preserve">651/2014</w:t>
            </w:r>
            <w:r w:rsidR="00000000" w:rsidRPr="00000000" w:rsidDel="00000000">
              <w:rPr>
                <w:rtl w:val="0"/>
              </w:rPr>
              <w:t xml:space="preserve"> 2. panta 18.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Komisijas regulas Nr.651/2014 2.panta 18.punkta nosacījumi ir jāvērtē/jāpiemēro uzņēmumam grupas līmenī (Komisijas regulas Nr.651/2014 angliskajā versijā nosacījumi, kas ir attiecināmi uz ‘undertaking’, ir jāpārbauda/jāpiemēro uzņēmuma grupas līmenī). Attiecīgi skaidrojam, ka, veicot noteikumu 7.7.apakšpunktā noteiktās prasības pārbaudi, ar atbalsta pretendentu atbilstoši noteikumu 3.2. un 3.7.apakšpunktam saprot uzņēmumu, kas vērtējams, tai skaitā saistīto uzņēmumu grupas līmenī. Lūdzam attiecīgi precizēt noteikumu 7.7. apakšpunktu un ar attiecīgu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apakšpunkts izteikts jaunā redakcijā- </w:t>
            </w:r>
            <w:r w:rsidR="00000000" w:rsidRPr="00000000" w:rsidDel="00000000">
              <w:rPr>
                <w:b w:val="1"/>
                <w:rtl w:val="0"/>
              </w:rPr>
              <w:t xml:space="preserve">ja tiek saņemts valsts atbalsts, tas neatbilst nevienai regulas Nr. 651/2014 2. panta 18. punktā minētajai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Regulu novērš jebkādas problēmas un interpretācijas iespējas. ES dalībvalstis nedrīkst kavēt Regulu tiešu piemērošanu dalībvalstīs, līdz ar to šeit optimāli ir atsaukties uz Regulu. Institūcijas, kas Regulu piemēro, attiecīgi to piemēro tai skaitā uzņēmumu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ja tiek saņemts valsts atbalsts, tas nav grūtībās nonācis uzņēmums atbilstoši regulas Nr.  </w:t>
            </w:r>
            <w:r w:rsidR="00000000" w:rsidRPr="00000000" w:rsidDel="00000000">
              <w:rPr>
                <w:rtl w:val="0"/>
              </w:rPr>
              <w:t xml:space="preserve">651/2014</w:t>
            </w:r>
            <w:r w:rsidR="00000000" w:rsidRPr="00000000" w:rsidDel="00000000">
              <w:rPr>
                <w:rtl w:val="0"/>
              </w:rPr>
              <w:t xml:space="preserve"> 2. panta 18.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2.panta 18.punkta c) apakšpunkta daļu “vai tas atbilst normatīvajos aktos noteiktiem kritērijiem, lai tam pēc kreditora pieprasījuma piemērotu maksātnespējas procedūru” pārbaudi nav iespējams veikt, pamatojoties uz publiskajos reģistros pieejamo informāciju - tās pārbaude ir veicama, balstoties uz atbalsta pretendenta iesniegtu apliecinājumu. Attiecīgi lūdzam noteikumu 7.7.apakšpunktu papildināt ar prasību, ka atbalsta pretendents iesniedz apliecinājumu par to, ka tas neatbilst normatīvajos aktos noteiktiem kritērijiem, lai tam pēc kreditora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7.5 apakšpunktam par maksātnespēju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tas nav saņēmis vai neplāno saņemt par tām pašām projekta attiecināmajām izmaksām finansējumu no citiem Eiropas Savienības finanšu avotiem vai citiem finanšu resursiem, kuri nav Latvijas institūciju tiešā vai netiešā kontrolē;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7.8., 7.10. un 7.11.apakšpunktu, tos apvienojot un izvērtējot, vai kumulācijas aizliegums ir attiecināms gan uz valsts atbalstu, gan uz valsts līdzfinansējumu, un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[atbalstu] attiecībā uz vienām un tām pašām attiecināmajām izmaksām nedrīkst kumulēt ar [atbalstu] citu atbalsta programmu vai ad-hoc atbalsta projekta ietvaros, tai skaitā citu de minimis atbalstu, neatkarīgi no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kopuzņēmumos, gan Eiropas līdzfinansētās partnerībās ir Apvārsnis Eiropa līdzfinansējums, bet atšķirīgā ceļā: kopuzņēmumi ES naudu dod projektu koordinatoriem, kas to sadala projektu partneriem, tai skaitā Latvijas zinātniskām institūcijām tieši. Savukārt līdzfinansētās partnerības finansējumu pārskaita uz Latvijas Zinātnes padomi, un padome jau to apvieno ar nacionālo līdzfinansējumu. Līdz ar to 7.8 apakšpunkts ir nepieciešams un vajadzīgs, jo Padome kontrolē VISUS izdevumus kopuzņēmuma projektā, ne tikai tos, kas ir par valsts līdzfinansējumu vai valsts atbalstu. Pretējā gadījumā var izveidoties situācija, ka tieši tos pašus izdevumus deklarē gan kopuzņēmumam, gan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apvienoti 7.10 un 7.11 punkti un izteikti redakcijā: šo noteikumu ietvaros piešķirto valsts atbalstu attiecībā uz vienām un tām pašām attiecināmajām izmaksām nedrīkst kumulēt ar valsts atbalstu citu atbalsta programmu vai ad-hoc atbalsta projektu ietvaros, tai skaitā citu de minimis atbalstu, neatkarīgi no finansējuma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tas nav saņēmis vai neplāno saņemt par tām pašām projekta attiecināmajām izmaksām finansējumu no citiem Eiropas Savienības finanšu avotiem vai citiem finanšu resursiem, kuri nav Latvijas institūciju tiešā vai netiešā kontrolē;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ja pretendē uz valsts atbalstu, tas sniedz informāciju par atbalsta stimulējošo ietekmi atbilstoši regulas Nr.  </w:t>
            </w:r>
            <w:r w:rsidR="00000000" w:rsidRPr="00000000" w:rsidDel="00000000">
              <w:rPr>
                <w:rtl w:val="0"/>
              </w:rPr>
              <w:t xml:space="preserve">651/2014</w:t>
            </w:r>
            <w:r w:rsidR="00000000" w:rsidRPr="00000000" w:rsidDel="00000000">
              <w:rPr>
                <w:rtl w:val="0"/>
              </w:rPr>
              <w:t xml:space="preserve"> 6. panta 2. punktam,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jebkurā gadījumā, ja šīs atbalsta programmas ietvaros tiek piešķirts atbalsts ar Komisijas regulu Nr.651/2014, ir jāievēro tās 6.panta 2.punktā ietvertā stimulējošas ietekmes prasība un atbalsta pieteikumam ir jāatbilst minētajā normā noteiktajam, lūdzam noteikumu 7.14.apakšpunktā dzēst vārdus "ja attiecināms". Ja tomēr atbalsta programmas autora ieskatā Komisijas regulas Nr. 651/2014 6. panta 2. punktā noteiktā prasība nebūtu attiecināma uz visiem projekta pieteikumiem, lūdzam sniegt juridiski pamatotu skaidrojumu anotācijā par šādu gadījumu pieļaujamību no Komisijas regulas Nr. 651/2014 6. panta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ja pretendē uz valsts atbalstu, tas sniedz informāciju par atbalsta stimulējošo ietekmi atbilstoši regulas Nr. </w:t>
            </w:r>
            <w:r w:rsidR="00000000" w:rsidRPr="00000000" w:rsidDel="00000000">
              <w:rPr>
                <w:rtl w:val="0"/>
              </w:rPr>
              <w:t xml:space="preserve">651/2014</w:t>
            </w:r>
            <w:r w:rsidR="00000000" w:rsidRPr="00000000" w:rsidDel="00000000">
              <w:rPr>
                <w:rtl w:val="0"/>
              </w:rPr>
              <w:t xml:space="preserve"> 6. panta 2.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9.3.1.1. starp uzņēmumiem, no kuriem vismaz viens ir sīkais (mikro), mazais vai vidējais uzņēmums, vai projektu īsteno vismaz divās valstīs un neviens atsevišķs uzņēmums nesedz vairāk kā 70 procentus no projekta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9.3.1.1.apakšpunktā noteiktais neatbilst Komisijas regulas Nr.651/2014 25.panta 6.punkta b)apakšpunktā noteiktajam, kas attiecīgi kā vienu no nosacījumiem paredz to, ka projektu īsteno vismaz divās dalībvalstīs vai dalībvalstī un EEZ līguma līgumslēdzējā pusē. Attiecīgi lūdzam precizēt 9.3.1.1.apakšpunktu, nodrošinot tā atbilstību Komisijas regulas Nr.651/2014 25.panta 6.punkta b)apakšpunktā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konstatē, ka valsts atbalsts vai valsts līdzfinansējums ir piešķirts kā nelikumīgs komercdarbības atbalsts, projekta īstenotājam ir pienākums atmaksāt padomei projekta ietvaros saņemto nelikumīgo komercdarbības atbalstu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un viennozīmīgu nelikumīga valsts atbalsta atgūšanas normas izpratni un piemērošanu, lūdzam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Nr.651/2014 nosacījumi, valsts atbalsta saņēmējam ir pienākums atmaksāt [padomei] šo noteikumu ietvaros saņemto nelikumīgo valsts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Izmantota Komercdarbības atbalsta kontroles likuma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tiek pārkāpti Komisijas regulas Nr.651/2014 nosacījumi, valsts atbalsta saņēmējam ir pienākums atmaksāt padomei šo noteikumu ietvaros saņemto nelikumīgo komercdarbības atbalstu kopā ar procentiem no līdzekļiem, kas ir brīvi no valsts atbalsta, atbilstoši Komercdarbības atbalsta kontroles likuma IV vai V nodaļas nosacījumiem. Ja padome pētniecības projekta īstenošanas laikā konstatē, ka pētniecības projekts neatbilst šo noteikumu 3.4.apakšpunktā minētajam kritērijam, valsts atbalsta saņēmējam ir pienākums atmaksāt padomei šo noteikumu ietvaros saņemto nelikumīgo valsts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konstatē, ka valsts atbalsts vai valsts līdzfinansējums ir piešķirts kā nelikumīgs komercdarbības atbalsts, projekta īstenotājam ir pienākums atmaksāt padomei projekta ietvaros saņemto nelikumīgo komercdarbības atbalstu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atsevišķu normu, kurā būtu ietverta prasība veikt nelikumīga komercdarbības atbalsta atgūšanu gadījumā, ja tiek konstatēts, ka nesaimniecisks pētniecības projekts (noteikumu 3.4.apakšpunkts) tomēr ir saimniecisks (noteikumu 3.5.apakšpunkts), izsakot to, piemēram, turpmāk minētajā redakcijā, vienlaikus tajā ietverot nosacījumu par periodu, kurā tiek/tiks veikta šo projektu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[padome] pētniecības projekta īstenošanas laikā vai [x gadus pēc pētniecības projekta īstenošanas termiņa beigām pēc pēdējā maksājuma] konstatē, ka pētniecības projekts neatbilst šo noteikumu 3.4.apakšpunktā minētajam kritērijam, valsts līdzfinansējuma  saņēmējam ir pienākums atmaksāt [padomei] šo noteikumu ietvaros saņemto nelikumīgo valsts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tajā gadījumā, ja nesaimniecisks pētniecības projekts (noteikumu 3.4.apakšpunkts) tomēr ir saimniecisks (noteikumu 3.5.apakšpunkts), tad atbalsts 3.8 apakšpunkta izpratnē ir valsts atbalsts. Piešķirtais valsts līdzfinansējums tādā gadījumā neatbilst MK Noteikumu 259 3.9 apakšpunktam, un ir Regulas 651/2014 priekšmets. Ja tiek pārkāpti Komisijas regulas Nr.651/2014 nosacījumi, valsts atbalsta saņēmējam ir pienākums atmaksāt padomei šo noteikumu ietvaros saņemto nelikumīgo komercdarbības atbalstu. Šie pārkāptie  nosacījumi var būt ne tikai attiecībā uz atbalsta intensitāti, bet arī attiecībā uz valsts atbalsta pieprasīšanas momentu. Līdz ar to šis punkts jau nosedz gadījumu, ja nesaimniecisks pētniecības projekts (noteikumu 3.4.apakšpunkts) tomēr ir saimniecisks (noteikumu 3.5.apakšpunkts).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tiek pārkāpti Komisijas regulas Nr.651/2014 nosacījumi, valsts atbalsta saņēmējam ir pienākums atmaksāt padomei šo noteikumu ietvaros saņemto nelikumīgo komercdarbības atbalstu kopā ar procentiem no līdzekļiem, kas ir brīvi no valsts atbalsta, atbilstoši Komercdarbības atbalsta kontroles likuma IV vai V nodaļas nosacījumiem. Ja padome pētniecības projekta īstenošanas laikā konstatē, ka pētniecības projekts neatbilst šo noteikumu 3.4.apakšpunktā minētajam kritērijam, valsts atbalsta saņēmējam ir pienākums atmaksāt padomei šo noteikumu ietvaros saņemto nelikumīgo valsts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13.1.1.4. ārpakalpojumu izmaksas, tostarp par līgumpētījumiem, zināšanām, konsultantu pakalpojumiem un citiem pakalpojumiem, kas nepieciešami projekta darba uzdevumu veikšanai, ja ārpakalpojumu sniedz atbilstoši iepirkuma procedūru regulējošajiem normatīvajiem aktiem. Šīs izmaksas nedrīkst pārsniegt 25 procentus no projekta kopējām tiešajām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14.06.2024 izteikto iebildumu, kas iekļauts izziņas 14.punktā (izziņā norādīts, ka tas ir ņemts vērā, bet faktiski precizējums noteikumu 13.1.1.4.apakšpunktā nav veikts). Skaidrojam, ka, lai izslēgtu komercdarbības atbalstu preču/pakalpojumu piegādātājiem, tiem jābūt izvēlētiem ievērojot caurspīdīgu, pārskatāmu, nediskriminējošu un konkurenci nodrošinošu procedūru. Vēršam uzmanību, ka atsevišķas publisko iepirkumu procedūras var nenodrošināt, ka tiek novērsts komercdarbības atbalsta sniegšanas risku - atbilstoši Eiropas Komisijas norādēm, piemēram, tāda iepirkuma procedūra kā sarunu procedūra bez paziņojuma par līgumu iepriekšēju publicēšanu var radīt risku, ka netiek piemērota tirgus cena par darījumu (sīkāka informācija pieejama Komisijas paziņojumā par Līguma par Eiropas Savienības darbību 107. panta 1. punktā minēto valsts atbalsta jēdzienu (2016/C 262/01). Attiecīgi, lai nodrošinātu, ka preču piegādātāju/pakalpojumu sniedzēja līmenī netiek piešķirts komercdarbības atbalsts, lūdzam papildināt noteikumu 13.1.1.4.apakšpunktu ar nosacījumu, ka īstenojot projektu, finansējuma saņēmējs izvēlas preču piegādātājus/pakalpojuma sniedzējus saskaņā ar normatīvajiem aktiem publisko iepirkumu jomā, </w:t>
            </w:r>
            <w:r w:rsidR="00000000" w:rsidRPr="00000000" w:rsidDel="00000000">
              <w:rPr>
                <w:u w:val="single"/>
                <w:rtl w:val="0"/>
              </w:rPr>
              <w:t xml:space="preserve">īstenojot atklātu, pārredzamu, nediskriminējošu un konkurenci nodrošinošu procedūru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13.1.1.4. ārpakalpojumu izmaksas, tostarp par līgumpētījumiem, zināšanām, konsultantu pakalpojumiem un citiem pakalpojumiem, kas nepieciešami projekta darba uzdevumu veikšanai, ja finansējuma saņēmējs izvēlas ārpakalpojuma sniedzējus t.sk. preču piegādātājus un pakalpojuma sniedzējus saskaņā ar normatīvajiem aktiem publisko iepirkumu jomā, īstenojot atklātu, pārredzamu, nediskriminējošu un konkurenci nodrošinošu procedūru. Šīs izmaksas nedrīkst pārsniegt 25 procentus no projekta kopējām tiešajām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13.1.1.4. ārpakalpojumu izmaksas, tostarp par līgumpētījumiem, zināšanām, konsultantu pakalpojumiem un citiem pakalpojumiem, kas nepieciešami projekta darba uzdevumu veikšanai, ja ārpakalpojumu sniedz atbilstoši iepirkuma procedūru regulējošajiem normatīvajiem aktiem. Šīs izmaksas nedrīkst pārsniegt 25 procentus no projekta kopējām tiešajām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papildināt 13.1.1.4.apakšpunktu ar nosacījumu, ka īstenojot projektu, finansējuma saņēmējs izvēlas preču piegādātājus/pakalpojuma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Atbilstoši Komisijas 2020. gada 2. jūlija Regulas (ES)  </w:t>
            </w:r>
            <w:r w:rsidR="00000000" w:rsidRPr="00000000" w:rsidDel="00000000">
              <w:rPr>
                <w:rtl w:val="0"/>
              </w:rPr>
              <w:t xml:space="preserve">2020/972</w:t>
            </w:r>
            <w:r w:rsidR="00000000" w:rsidRPr="00000000" w:rsidDel="00000000">
              <w:rPr>
                <w:rtl w:val="0"/>
              </w:rPr>
              <w:t xml:space="preserve">, ar ko groza Regulu (ES) Nr.  </w:t>
            </w:r>
            <w:r w:rsidR="00000000" w:rsidRPr="00000000" w:rsidDel="00000000">
              <w:rPr>
                <w:rtl w:val="0"/>
              </w:rPr>
              <w:t xml:space="preserve">1407/2013</w:t>
            </w:r>
            <w:r w:rsidR="00000000" w:rsidRPr="00000000" w:rsidDel="00000000">
              <w:rPr>
                <w:rtl w:val="0"/>
              </w:rPr>
              <w:t xml:space="preserve"> attiecībā uz tās pagarināšanu un groza Regulu (ES) Nr.  </w:t>
            </w:r>
            <w:r w:rsidR="00000000" w:rsidRPr="00000000" w:rsidDel="00000000">
              <w:rPr>
                <w:rtl w:val="0"/>
              </w:rPr>
              <w:t xml:space="preserve">651/2014</w:t>
            </w:r>
            <w:r w:rsidR="00000000" w:rsidRPr="00000000" w:rsidDel="00000000">
              <w:rPr>
                <w:rtl w:val="0"/>
              </w:rPr>
              <w:t xml:space="preserve"> attiecībā uz tās pagarināšanu un attiecīgiem pielāgojumiem, 2. panta 5. punktam lēmumu par valsts atbalsta piešķiršanu šo noteikumu ietvaros pieņem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atbalsta programmā nav pieļaujams piešķirt valsts atbalstu saskaņā ar Komisijas regulu Nr.651/2014, jo saskaņā ar noteikumu 22.1punktā noteikto valsts atbalstu šīs atbalsta programmas ietvaros varēja piešķirt līdz 31.12.2023 (minētais atbalsta programmas beigu termiņš ir paziņots Eiropas Komisijai, iesniedzot kopsavilkuma informāciju lietā SA.54494 ar grozījumiem SA.64278). Gadījumā, ja Izglītības un zinātnes ministrija plāno turpināt atbalsta programmas ietvaros piešķirt valsts atbalstu saskaņā ar Komisijas regulu Nr.651/2014, ir nepieciešams grozīt noteikumu 22.1punktu, norādot datumu, līdz kuram saskaņā ar Komisijas regulas Nr.651/2015 7.panta 4.punktu un 8.pantu atbalsta programmas ietvaros varēs tikt piešķirts valsts atbalsts (šobrīd maksimālais atbalsta piešķiršanas termiņš ir 30.06.2027. Papildus lūdzam anotācijas 5.sadaļā norādīt, ka Izglītības un zinātnes ministrija 20 darbdienu laikā pēc šī noteiktu projekta spēkā stāšanās nosūtīs Eiropas Komisijai kopsavilkuma informāciju Komisijas regulas Nr.651/2014 atbilstoši Komisijas regulas Nr.651/2014 11.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atbalsta programmas darbības termiņa pārrāvuma laikā valsts atbalstu saskaņā ar Komisijas regulu Nr.651/2014 nedrīkst piešķirt.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iekļauta Anotācijas 5.3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Lēmumu par valsts atbalsta piešķiršanu pieņem līdz 2027.gada 30.jūnijam.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noteikumu projekta anotācijā izvērstāk skaidrot noteikumu 3.6.1. apakšpunktā ietverto normu (noteikumu projekta 4. punkts), citastarp skaidrojot, kas šīs normas izpratnē ir uzskatāma par publisku izglītību, kā arī skaidrojot, kādos gadījumos normas izpratnē izglītība ir galvenokārt valsts finansēta un uzraudzīta, ņemot vērā, ka attiecīgais nosacījums varētu būt subjektīvi interpretējams.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3.6.1. apakšpunktā ietvertā norma skaidrota. Norma saskaņota ar  Ministru kabineta 2023.gada 19.decembra noteikumu Nr.811 "Eiropas Savienības kohēzijas politikas programmas 2021.–2027.gadam 1.1.1. specifiskā atbalsta mērķa "Pētniecības un inovāciju kapacitātes stiprināšana un progresīvu tehnoloģiju ieviešana kopējā P&amp;A sistēmā" 1.1.1.8.pasākuma "Doktorantūras granti" īstenošanas noteikumi" 2.3.1.apakšpunktu.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daži no noteikumu projektā paredzētajiem grozījumiem anotācijā ir tikai citēti, bet nav pamatoti pēc būtības. Norādām, ka anotācijā nepieciešams sniegt pamatojumu visiem projektā ietvertajiem grozījumiem. Attiecīgi aicinām izvērtēt un sniegt izvērstākus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1.3.sadaļā ietverto informāciju par noteikumu 7.5. un 7.7.apakšpunktu, jo iekļautais skaidrojums par atbalsta pretendenta pienākumu iesniegt apliecinājumu par to, ka tas neatbilst normatīvajos aktos noteiktiem kritērijiem, lai tam pēc kreditora pieprasījuma piemērotu maksātnespējas procedūru, pašreizējā redakcijā vairākkārt atkārtojas un atsevišķos skaidrojumos ir redakcionālas nepilnības.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tabulā 2024.gadā ailē "saskaņā ar valsts budžetu kārtējam gadam" norādīto finansējumu pārcelt uz aili "izmaiņas kārtējā gadā, salīdzinot ar valsts budžetu kārtējam gadam", kā arī 2025. un 2026.gadā ailē "saskaņā ar vidēja termiņa budžeta ietvaru" norādīto finansējumu pārcelt uz aili "izmaiņas, salīdzinot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3.sadaļas apakšsadaļa "Cita informācija" papildināma ar informāciju, ka ailē "izmaiņas kārtējā gadā, salīdzinot ar valsts budžetu kārtējam gadam" 2024.gadā norādīts finansējums, kas ieplānots precizētajā 2024.gada budžeta likuma plānā, savukārt ailē "izmaiņas, salīdzinot ar vidēja termiņa budžeta ietvaru" 2025. - 2027.gadā norādīts finansējums, kas ieplānots Izglītības un zinātnes ministrijas budžeta 2025.-2028.gada bāzes izdevumos atbilstoši Ministru kabineta 2023. gada 12. decembra sēdes protokola Nr. 61 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skaidrības labad anotācijas 5. sadaļā atsauces uz </w:t>
            </w:r>
            <w:r w:rsidR="00000000" w:rsidRPr="00000000" w:rsidDel="00000000">
              <w:rPr>
                <w:i w:val="1"/>
                <w:rtl w:val="0"/>
              </w:rPr>
              <w:t xml:space="preserve">Komisijas 2014. gada 17. jūnija Regulu (ES) Nr. 651/2014, ar ko noteiktas atbalsta kategorijas atzīst par saderīgām ar iekšējo tirgu, piemērojot Līguma 107. un 108. pantu (Dokuments attiecas uz EEZ)</w:t>
            </w:r>
            <w:r w:rsidR="00000000" w:rsidRPr="00000000" w:rsidDel="00000000">
              <w:rPr>
                <w:rtl w:val="0"/>
              </w:rPr>
              <w:t xml:space="preserve"> beigās ietvert norādi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vienību numerācijas izmaiņas, aicinām aktualizēt anotācijas 5.4. sadaļas 1. tabulā norādītās projekta vienības, kurās ieviestas Eiropas Savienības regulu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5.4.sadaļas 1. tabulā ietverto noteikumu projekta 17.punkta izvērtējumu arī pret Komisijas regulas Nr.651/2014 58.panta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26. maija noteikumos Nr. 259 "Atbalsta piešķiršanas kārtība dalībai starptautiskās sadarbības programmās pētniecības un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sēdes protokollēmuma projekts nav aizpildīts.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26. maija noteikumos Nr. 259 "Atbalsta piešķiršanas kārtība dalībai starptautiskās sadarbības programmās pētniecības un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tehnisko kļūdu un svītrot noteikumu projekta 1. punktu, kas faktiski paredz svītrot noteikumu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publiska izglītība, kuras mērķis ir vairot un uzlabot cilvēkresursu prasmes un kas tiek nodrošināta valsts izglītības sistēmas ietvaros un galvenokārt vai pilnībā ir valsts finansēta un uzraudzīta;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izvērstāk skaidrot noteikumu 3.6.1. apakšpunktā ietverto normu, citastarp skaidrojot, kas šīs normas izpratnē ir uzskatāma par publisku izglītību, kā arī skaidrojot, kādos gadījumos normas izpratnē izglītība ir </w:t>
            </w:r>
            <w:r w:rsidR="00000000" w:rsidRPr="00000000" w:rsidDel="00000000">
              <w:rPr>
                <w:u w:val="single"/>
                <w:rtl w:val="0"/>
              </w:rPr>
              <w:t xml:space="preserve">galvenokārt</w:t>
            </w:r>
            <w:r w:rsidR="00000000" w:rsidRPr="00000000" w:rsidDel="00000000">
              <w:rPr>
                <w:rtl w:val="0"/>
              </w:rPr>
              <w:t xml:space="preserve"> valsts finansēta un uzraudzīta, ņemot vērā, ka attiecīgais nosacījums varētu būt subjektīvi interpretējams.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kontekstā gan ar noteikumu 3.6.1. apakšpunkta izteikšanu jaunā redakcijā, gan arī citiem projektā paredzētajiem grozījumiem noteikumos sniegt skaidrojumu, kā paredzētie grozījumi ietekmēs atbalsta saņēmējus, ja tādi ir, un iesāktos projektus, ja tādi ir, tai skaitā, vai šīs personas ir informētas par iespējamiem grozījumiem un tās brīvprātīgi piekritušas šādiem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jo no 3.6.1.apakšpunkta sākotnējā versijā varēja nekorekti nolasīt, ka šo noteikumu ietvaros ar darbību, kurai nav saimnieciska rakstura, saprot arī darbaspēka apmācības. Tāpēc precizēta norma, lai nodrošinātu tās atbilstību Komisijas paziņojuma "Pētniecībai, izstrādei un inovācijai piešķiramā valsts atbalsta nostādnes"(2022/C 414/01) (turpmāk - Komisijas paziņojums) 20.(a) (i) punktam. Par piemēru ņemot Ministru kabineta 2023.gada 19.decembra noteikumu Nr.811 "Eiropas Savienības kohēzijas politikas programmas 2021.–2027.gadam 1.1.1. specifiskā atbalsta mērķa "Pētniecības un inovāciju kapacitātes stiprināšana un progresīvu tehnoloģiju ieviešana kopējā P&amp;A sistēmā" 1.1.1.8.pasākuma "Doktorantūras granti" īstenošanas noteikumi" 2.2.1.apakšpunktu.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publiska izglītība, kuras mērķis ir vairot un uzlabot cilvēkresursu prasmes un kas tiek nodrošināta valsts izglītības sistēmas ietvaros un galvenokārt vai pilnībā ir valsts finansēta un uzraudzīta;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uz atbalsta pretendentu, tai skaitā saistīto uzņēmumu grupas līmenī, neattiecas līdzekļu atgūšanas rīkojums atbilstoši regulas Nr. </w:t>
            </w:r>
            <w:r w:rsidR="00000000" w:rsidRPr="00000000" w:rsidDel="00000000">
              <w:rPr>
                <w:rtl w:val="0"/>
              </w:rPr>
              <w:t xml:space="preserve">651/2014</w:t>
            </w:r>
            <w:r w:rsidR="00000000" w:rsidRPr="00000000" w:rsidDel="00000000">
              <w:rPr>
                <w:rtl w:val="0"/>
              </w:rPr>
              <w:t xml:space="preserve"> 1. panta 4. punkta "a" apakšpunktam, ja viņš pretendē uz valsts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ietvert atsauci uz attiecīgo regulas vienību, kas skaidro terminu "saistītie uzņēmumi" vai "saistīto uzņēmumu grupa". Alternatīvi aicinām sniegt skaidrojumu noteikumu projekta anotācijā par attiecīgā termina un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vienādot izmantoto terminoloģiju (sk. noteikumu 7.7. apakšpunktā izmantotos vārdus "uzņēmumu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un precizēta terminoloģija 7.3.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uz atbalsta pretendentu, tai skaitā saistīto uzņēmumu grupas līmenī, neattiecas līdzekļu atgūšanas rīkojums atbilstoši regulas Nr. </w:t>
            </w:r>
            <w:r w:rsidR="00000000" w:rsidRPr="00000000" w:rsidDel="00000000">
              <w:rPr>
                <w:rtl w:val="0"/>
              </w:rPr>
              <w:t xml:space="preserve">651/2014</w:t>
            </w:r>
            <w:r w:rsidR="00000000" w:rsidRPr="00000000" w:rsidDel="00000000">
              <w:rPr>
                <w:rtl w:val="0"/>
              </w:rPr>
              <w:t xml:space="preserve"> 1. panta 4. punkta "a" apakšpunktam, ja viņš pretendē uz valsts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nodrošina regulas Nr.  </w:t>
            </w:r>
            <w:r w:rsidR="00000000" w:rsidRPr="00000000" w:rsidDel="00000000">
              <w:rPr>
                <w:rtl w:val="0"/>
              </w:rPr>
              <w:t xml:space="preserve">651/2014</w:t>
            </w:r>
            <w:r w:rsidR="00000000" w:rsidRPr="00000000" w:rsidDel="00000000">
              <w:rPr>
                <w:rtl w:val="0"/>
              </w:rPr>
              <w:t xml:space="preserve"> 4. panta 1. punkta "i" apakšpunktā minētās paziņošanas robežvērtības nosacījumu izpildes ievērošanu katra projekta ietvaros, par kuru noslēgts atbalsta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Komisijas regulas Nr.651/2014 4.panta 1.punkta "i" apakšpunktam attiecībā uz atbalstu pētniecībai un attīstībai ir nepieciešams nodrošināt, ka paziņošanas robežvērtība tiek ievērota viena uzņēmuma viena projekta līmenī, lai nodrošinātu noteikumu 12.12.apakšpunkta atbilstību minētajam nosacījumam, lūdzam to precizēt, papildinot ar nosacījumu, ka paziņošanas robežvērtība tiek pārbaudīta arī atbalsta pretendentam, tai skaitā saistīto uzņēmumu grupas līmenī,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nodrošina regulas Nr. 651/2014 4. panta 1. punkta "i" apakšpunktā minētās paziņošanas robežvērtības nosacījumu izpildes ievērošanu </w:t>
            </w:r>
            <w:r w:rsidR="00000000" w:rsidRPr="00000000" w:rsidDel="00000000">
              <w:rPr>
                <w:b w:val="1"/>
                <w:u w:val="single"/>
                <w:rtl w:val="0"/>
              </w:rPr>
              <w:t xml:space="preserve">atbalsta pretendentam, tai skaitā saistīto uzņēmumu grupas līmenī,</w:t>
            </w:r>
            <w:r w:rsidR="00000000" w:rsidRPr="00000000" w:rsidDel="00000000">
              <w:rPr>
                <w:b w:val="1"/>
                <w:rtl w:val="0"/>
              </w:rPr>
              <w:t xml:space="preserve"> </w:t>
            </w:r>
            <w:r w:rsidR="00000000" w:rsidRPr="00000000" w:rsidDel="00000000">
              <w:rPr>
                <w:rtl w:val="0"/>
              </w:rPr>
              <w:t xml:space="preserve">katra projekta ietvaros, par kuru noslēgts atbalsta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nodrošina regulas Nr. </w:t>
            </w:r>
            <w:r w:rsidR="00000000" w:rsidRPr="00000000" w:rsidDel="00000000">
              <w:rPr>
                <w:rtl w:val="0"/>
              </w:rPr>
              <w:t xml:space="preserve">651/2014</w:t>
            </w:r>
            <w:r w:rsidR="00000000" w:rsidRPr="00000000" w:rsidDel="00000000">
              <w:rPr>
                <w:rtl w:val="0"/>
              </w:rPr>
              <w:t xml:space="preserve"> 4. panta 1. punkta "i" apakšpunktā minētās paziņošanas robežvērtības nosacījumu izpildes ievērošanu atbalsta pretendentam, tai skaitā saistīto uzņēmumu grupas līmenī, katra projekta ietvaros, par kuru noslēgts atbalsta līgums;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13.2.1. projekta izpildē nodarbinātā personāla izmaksas – atalgojums, kā arī citi normatīvajos aktos noteiktie darba ņēmēja labā obligāti veicamie maksājumi, tai skaitā darba devēja valsts sociālās apdrošināšanas iemaksas. Projekta izpildē nodarbinātajam personālam ir noteiktas šo noteikumu </w:t>
            </w:r>
            <w:r w:rsidR="00000000" w:rsidRPr="00000000" w:rsidDel="00000000">
              <w:rPr>
                <w:rtl w:val="0"/>
              </w:rPr>
              <w:t xml:space="preserve">13.1.1.1.</w:t>
            </w:r>
            <w:r w:rsidR="00000000" w:rsidRPr="00000000" w:rsidDel="00000000">
              <w:rPr>
                <w:rtl w:val="0"/>
              </w:rPr>
              <w:t xml:space="preserve"> apakšpunktā norādītās atalgojuma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atbilstības izsekojamību Komisijas regulas Nr.651/2014 25.panta 3.punkta apakšpunktu nosacījumiem, aicinām precizēt noteikumu 13.2.1.-13.2.3. apakšpunktus papildinot tos ar atsaucēm uz regulas Nr. 651/2014 25. panta 3. punkta apakšpunktiem pēc analoģijas ar noteikumu 13.2.4. un 13.2.6.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13.2.1. projekta izpildē nodarbinātā personāla izmaksas – atalgojums, kā arī citi normatīvajos aktos noteiktie darba ņēmēja labā obligāti veicamie maksājumi, tai skaitā darba devēja valsts sociālās apdrošināšanas iemaksas, ievērojot regulas Nr. 651/2014 25. panta 3. punkta "a" apakšpunktā noteikto. Projekta izpildē nodarbinātajam personālam ir noteiktas šo noteikumu </w:t>
            </w:r>
            <w:r w:rsidR="00000000" w:rsidRPr="00000000" w:rsidDel="00000000">
              <w:rPr>
                <w:rtl w:val="0"/>
              </w:rPr>
              <w:t xml:space="preserve">13.1.1.1.</w:t>
            </w:r>
            <w:r w:rsidR="00000000" w:rsidRPr="00000000" w:rsidDel="00000000">
              <w:rPr>
                <w:rtl w:val="0"/>
              </w:rPr>
              <w:t xml:space="preserve"> apakšpunktā norādītās atalgojuma likmes;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24-TA-969</w:t>
    </w:r>
    <w:r>
      <w:br/>
    </w:r>
    <w:r w:rsidR="00000000" w:rsidRPr="00000000" w:rsidDel="00000000">
      <w:rPr>
        <w:rtl w:val="0"/>
      </w:rPr>
      <w:t xml:space="preserve">23.09.2024. 15.43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24-TA-969</w:t>
    </w:r>
    <w:r>
      <w:br/>
    </w:r>
    <w:r w:rsidR="00000000" w:rsidRPr="00000000" w:rsidDel="00000000">
      <w:rPr>
        <w:rtl w:val="0"/>
      </w:rPr>
      <w:t xml:space="preserve">23.09.2024. 15.43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Izziņa_24-TA-969.docx</dc:title>
</cp:coreProperties>
</file>

<file path=docProps/custom.xml><?xml version="1.0" encoding="utf-8"?>
<Properties xmlns="http://schemas.openxmlformats.org/officeDocument/2006/custom-properties" xmlns:vt="http://schemas.openxmlformats.org/officeDocument/2006/docPropsVTypes"/>
</file>