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Invaliditātes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Invaliditātes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budžetu un finanšu vadību I sadaļai “Likumā lietotie termini” budžeta likumprojektu pakete ir likumprojektu pakete, kas sastāv no likumprojekta par valsts budžetu kārtējam gadam un vidēja termiņa budžeta ietvaru (turpmāk — valsts budžeta likumprojekts) un </w:t>
            </w:r>
            <w:r w:rsidR="00000000" w:rsidRPr="00000000" w:rsidDel="00000000">
              <w:rPr>
                <w:u w:val="single"/>
                <w:rtl w:val="0"/>
              </w:rPr>
              <w:t xml:space="preserve">likumprojektiem, kuri nosaka vai groza valsts budžetu, vai ietekmē valsts budžetu vidējā termiņā.</w:t>
            </w:r>
            <w:r w:rsidR="00000000" w:rsidRPr="00000000" w:rsidDel="00000000">
              <w:rPr>
                <w:rtl w:val="0"/>
              </w:rPr>
              <w:t xml:space="preserve">  Savukārt, likumprojekta anotācijas 3.sadaļā norādīts, ka likumprojektam nav ietekmes uz valsts budžetu un pašvaldību budžetiem. Vienlaikus likumprojekta anotācijas 1.1.sadaļas punktā “Apraksts” norādīts, ka vienlaikus tiek veikti arī grozījumi Sociālo pakalpojumu un sociālās palīdzības likumā (22-TA-2554), kurā kā viena no iekļautajām normām nosaka, ka biedrība “Resursu centrs cilvēkiem ar garīgiem traucējumiem “ZELDA”” nodrošina atbalsta personas lēmumu pieņemšanā pakalpojumu pilngadīgai personai ar garīga rakstura traucējumiem, kurai noteikta invaliditāte. Minēto normu Finanšu ministrija likumprojekta “Grozījumi Sociālo pakalpojumu un sociālās palīdzības likumā”  (22-TA-2554) saskaņošanas procesā nav atbalstījusi, jo atbilstoši  Ministru kabinetā 13.01.2023. izskatītajam informatīvajam ziņojumam “Par priekšlikumiem valsts budžeta prioritārajiem pasākumiem 2023.gadam un budžeta ietvaram 2023.–2025.gadam” (prot. Nr.2 1.§) netika piešķirts papildu nepieciešamais finansējums minētās normas īstenošanai. Ņemot vērā minēto, nav atbalstāma likumprojekta virzība likumprojekta “Par valsts budžetu 2023.gadam un budžeta ietvara 2023., 2024. un 2025.gadam”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attiecās uz iepriekšējo saskaņošanu periodu, kad Grozījumi Invaliditātes likumā (attiecībā uz Atbalsta personas lēmumu pieņemšanā pakalpojumu, ko nodrošina biedrība "Zelda" tika virzīti 2023.gada budžeta likumprojektu paketē). Tā kā grozījumu projekts, atbilstoši Finanšu ministrijas iebildumiem, attiecīgi tika izņemts no 2023.gada budžeta likumprojektu pakotnes, tad šis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Invaliditātes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Prognozējamu invaliditāti, invaliditāti un darbspēju zaudējumu personai nosaka ar dienu, kad tā atbilstoši normatīvajos aktos par prognozējamas invaliditātes, invaliditātes vai darbspēju zaudējuma noteikšanas un invaliditāti apliecinoša dokumenta izsniegšanu noteiktajam ir iesniegusi dokumentus Valsts komisijā, izņemot šā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minētajos gadījumos. Ja ekspertīzi veic saskaņā ar Eiropas Parlamenta un Padomes 2004. gada 29. aprīļa Regulu (EK) Nr. 883/2004 par sociālās nodrošināšanas sistēmu koordinēšanu vai starpvalstu līgumiem sociālās drošības jomā, invaliditāti un darbspēju zaudējumu personai nosaka ar dienu, kad persona ir iesniegusi iesniegumu ārvalsts kompetentajā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Invaliditātes likumā" (turpmāk – projekts) 4. pantā ietvertais Invaliditātes likuma 8. panta trešās daļas pirmais teikums noteic, ka invaliditāti personai nosaka ar dienu, kad tā iesniegusi dokumentus Valsts komisijā. Projekta sākotnējās ietekmes novērtējuma ziņojumā (turpmāk – anotācija) norādīts, ka ar šo normu saprotams, ka invaliditāte tiks noteikta nevis ar dienu, kad ir iesniegts iesniegums, ko paredz šobrīd spēkā esošā Invaliditātes likuma 8. panta trešā daļa, bet gan ar visu iesniegumam pievienojamo dokumentu iesniegšanas dienu, jo personas ne vienmēr iesniedz invaliditātes noteikšanai nepieciešamos dokumentos. Savukārt attiecībā uz projekta 4. pantā ietvertajā Invaliditātes likuma 8. panta trešās daļas otrajā teikumā minētajām personām ir paredzēts, ka invaliditāti noteiks ar iesnieguma iesniegšanas dienu ārvalsts kompetentajā iestādē. No minētā izriet, ka personas, kas vērsīsies Valsts komisijā, lai tām tiktu noteikta invaliditāte, būs nelabvēlīgākā situācijā, nekā personas, kas vērsīsies ārvalsts kompetentajā iestādē. Vienlaikus ir iespējamas situācijas, ka personas, vēršoties ārvalsts kompetentajā iestādē, arī neiesniedz visus nepieciešamos dokumentus. Ņemot vērā minēto, secināms, ka projekta 4. pantā ietvertajā Invaliditātes likuma 8. panta trešajā daļā ietverts nevienlīdzīgs regulējums. Vienlaikus ņemams vērā, ka visu dokumentu iesniegšanas brīdis ir neprognozējams datums. Invaliditātes likuma 5. panta pirmā daļa paredz, ka invaliditāte ir ilgstošs vai nepārejošs ļoti smagas, smagas vai mērenas pakāpes funkcionēšanas ierobežojums, kas ietekmē personas garīgās vai fiziskās spējas, darbspējas, pašaprūpi un iekļaušanos sabiedrībā. Ņemot vērā minēto, var būt situācijas, kad personas savas invaliditātes dēļ nav spējīgas iesniegt visus nepieciešamos dokumentus vienlaicīgi ar iesniegumu. Vienlaikus no šāda regulējuma izriet, ka no invaliditātes noteikšanas izrietošos labumus personas saņems vēlāk, kas var papildus ietekmēt personas stāvokli. Ievērojot minēto, lūdzam papildināt anotāciju ar projekta 4. pantā ietvertā Invaliditātes likuma 8. panta trešās daļas pirmā teikuma samērīguma izvērtējumu, kā arī izvērtēt, vai tajā ietvertais regulējums nepārkāpj vienlīdzības principu. Papildus lūdzam izvērtēt nepieciešamību paredzēt pārejas regulējumu attiecībā uz šīs normas piemērošanu, piemēram, nosakot, ka iesniegumus, kas iesniegti līdz šīs normas spēkā stāšanās dienai (2024. gada 1. jūlijam) izskata atbilstoši regulējumam, kas bija spēkā iesnieguma iesniegšanas dienas, tādējādi paredzot, ka personām, kas iesniegumus iesniegs līdz 2024. gada 1. jūlijam, invaliditāte tiks noteikta ar iesnieguma iesniegšanas dienu, nevis dokumentu iesniegšanas dienu. Vēršam uzmanību uz to, ka konkrētais regulējums paredz nelabvēlīgāku regulējumu attiecībā pret šobrīd spēkā esošo regulējumu, tādējādi ir nepieciešams ievērot personu tiesisko paļāvību, nosakot saprātīgu pārejas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anotācijas 1.3. sadaļa papildināta ar skaidrojumu, kā arī likumprojekts papildināts ar pārejas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Prognozējamu invaliditāti, invaliditāti un darbspēju zaudējumu personai nosaka ar dienu, kad tā atbilstoši normatīvajos aktos par prognozējamas invaliditātes, invaliditātes vai darbspēju zaudējuma noteikšanas un invaliditāti apliecinoša dokumenta izsniegšanu noteiktajam ir iesniegusi dokumentus Valsts komisijā, izņemot šā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minētajos gadījumos. Ja ekspertīzi veic saskaņā ar Eiropas Parlamenta un Padomes 2004. gada 29. aprīļa Regulu (EK) Nr. 883/2004 par sociālās nodrošināšanas sistēmu koordinēšanu vai starpvalstu līgumiem sociālās drošības jomā, invaliditāti un darbspēju zaudējumu personai nosaka ar dienu, kad persona ir iesniegusi iesniegumu ārvalsts kompetentajā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ietvertajā Invaliditātes likuma 8.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paredzēts noteikt atšķirīgu regulējumu atkārtotas invaliditātes ekspertīzes gadījumā atkarībā no tā, vai persona iesniegusi iesniegumu mazāk nekā divus mēnešus pirms invaliditātes termiņa beigām vai vairāk nekā divus mēnešus pirms invaliditātes termiņa beigām. Ja persona iesniegumu iesniegs divus mēnešus pirms invaliditātes termiņa beigām, un personas stāvoklis būs uzlabojies, personai jauno invaliditāti noteiks ar nākamo dienu pēc iepriekšējās invaliditātes termiņa beigām. Savukārt, ja persona iesniegumu iesniegs divus mēnešus un divas dienas pirms invaliditātes termiņa beigām, un personas stāvoklis būs uzlabojies, personai jauno invaliditāti noteiks ar administratīvā akta izdošanas dienu. Anotācijā ir skaidrots, ka "ir nepieciešams regulējums, kas būtu kā izņēmums no Invaliditātes likuma 8. panta trešajā daļā ietvertā vispārējā regulējuma, un jauno invaliditāti šādā situācijā noteiktu nevis no iesnieguma iesniegšanas dienas, bet no nākamās dienas, kas seko pēc iepriekšējā invaliditātes termiņa beigām, jo savlaicīgi iesniedzot iesniegumu Valsts komisijā, termiņa tecējums jaunajai invaliditātei ikreiz sākas no iesnieguma iesniegšanas dienas, un līdz galam netiek izmantotas tiesības, kas izrietēja no iepriekšējā invaliditātes lēmuma." Vienlaikus anotācijā ir norādīts, ka attiecībā uz gadījumiem, kad iesniegums ir iesniegts vairāk nekā divus mēnešus pirms invaliditātes termiņa beigām, "nebūtu saprātīgi invaliditāti noteikt nedz no iesnieguma iesniegšanas dienas, nedz arī ar nākamo dienu, kas seko iepriekš noteiktā invaliditātes termiņa beigu datumam". Vēršam uzmanību uz to, ka no anotācijas neizriet, kāpēc personām, kuras iesniegumu iesniedz mazāk nekā divus mēnešus pirms invaliditātes termiņa beigām, ir pieļaujams izmantot savas labvēlīgākās tiesības, ja invaliditātes pakāpe pēc atkārtotas ekspertīzes tiks samazināta, taču personām, kas būs tādā pašā situācijā, bet iesniegumu būs iesniegušas vairāk nekā divus mēnešus pirms invaliditātes termiņa beigām savas labvēlīgākās tiesības ļaut izmantot vairs nav saprātīgi. Ņemot vērā minēto, lūdzam papildināt anotāciju ar projekta 4. pantā ietvertās Invaliditātes likuma 8.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daļas atbilstības vienlīdzības principam izvērtējumu, kā arī izvērtēt šāda regulējuma samērīgumu. Papildus lūdzam izvērtēt nepieciešamību paredzēt pārejas regulējumu attiecībā uz šo normu piemērošanu, piemēram, nosakot, ka iesniegumus, kas iesniegti līdz šo normu spēkā stāšanās dienai (2024. gada 1. jūlijam) izskata atbilstoši regulējumam, kas bija spēkā iesnieguma iesniegšanas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anotācijas 1.3. sadaļa papildināta ar skaidrojumu, kā arī likumprojekts papildināts ar pārejas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Ja atkārtotas invaliditātes ekspertīzes gadījumā no dokumentu saņemšanas dienas līdz iepriekš noteiktā invaliditātes termiņa beigām ir vairāk kā divi mēneši un ja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pamats noteikt vieglākas pakāpes invaliditātes grupu, Valsts komisija to nosaka ar administratīvā akta izdošanas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nav pamata atkārtoti noteikt invaliditāti vai izsniegt atzinumu par nepieciešamajiem pasākumiem invaliditātes seku mazināšanai, lēmumu, ar kuru iepriekš bija noteikta invaliditāte vai izsniegts atzinums, atceļ ar jaunā administratīvā akta izdošanas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4. pantā ietverto Invaliditātes likuma 8. panta 3.</w:t>
            </w:r>
            <w:r w:rsidR="00000000" w:rsidRPr="00000000" w:rsidDel="00000000">
              <w:rPr>
                <w:vertAlign w:val="superscript"/>
                <w:rtl w:val="0"/>
              </w:rPr>
              <w:t xml:space="preserve">2</w:t>
            </w:r>
            <w:r w:rsidR="00000000" w:rsidRPr="00000000" w:rsidDel="00000000">
              <w:rPr>
                <w:rtl w:val="0"/>
              </w:rPr>
              <w:t xml:space="preserve"> daļas 1. punktu ar regulējumu, kas paredz rīcību ar lēmumu par invaliditātes noteikšanu, kas tika pieņemts pirms normā paredzētās atkārtotās invaliditātes ekspertīzes. Ņemot vērā to, ka normā ir paredzēts, ka jaunā invaliditāte tiek noteikta ar jaunā administratīvā akta izdošanas dienu, faktiski var veidoties situācijas, kad spēkā vienlaikus ir gan iepriekš izdotais administratīvais akts, kurā noteiktais invaliditātes termiņš vēl nav beidzies, gan jaunais administratīvais akts, ar kuru invaliditāte noteikta ar tā izdošanas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Ja atkārtotas invaliditātes ekspertīzes gadījumā no dokumentu saņemšanas dienas līdz iepriekš noteiktā invaliditātes termiņa beigām ir vairāk kā divi mēneši un ja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pamats noteikt vieglākas pakāpes invaliditātes grupu, Valsts komisija to nosaka ar administratīvā akta izdošanas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nav pamata atkārtoti noteikt invaliditāti vai izsniegt atzinumu par nepieciešamajiem pasākumiem invaliditātes seku mazināšanai, lēmumu, ar kuru iepriekš bija noteikta invaliditāte vai izsniegts atzinums, atceļ ar jaunā administratīvā akta izdošanas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w:t>
            </w:r>
            <w:r w:rsidR="00000000" w:rsidRPr="00000000" w:rsidDel="00000000">
              <w:rPr>
                <w:vertAlign w:val="superscript"/>
                <w:rtl w:val="0"/>
              </w:rPr>
              <w:t xml:space="preserve">2 </w:t>
            </w:r>
            <w:r w:rsidR="00000000" w:rsidRPr="00000000" w:rsidDel="00000000">
              <w:rPr>
                <w:rtl w:val="0"/>
              </w:rPr>
              <w:t xml:space="preserve">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12.panta (6</w:t>
            </w:r>
            <w:r w:rsidR="00000000" w:rsidRPr="00000000" w:rsidDel="00000000">
              <w:rPr>
                <w:vertAlign w:val="superscript"/>
                <w:rtl w:val="0"/>
              </w:rPr>
              <w:t xml:space="preserve">2</w:t>
            </w:r>
            <w:r w:rsidR="00000000" w:rsidRPr="00000000" w:rsidDel="00000000">
              <w:rPr>
                <w:rtl w:val="0"/>
              </w:rPr>
              <w:t xml:space="preserve">) daļas otrais teikums nosaka, ka pašvaldība saistošajos noteikumos nosaka šā panta pirmās daļas 4.2 punktā minētā aprūpes pakalpojuma piešķiršanas, atteikšanas, izbeigšanas un pārtraukšanas nosacījumus un kārtību, kritērijus aprūpes pakalpojuma nepieciešamības novērtēšanai un prasības aprūpes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Izdodot saistošos noteikumus par aprūpes pakalpojuma piešķiršanu bērniem pašvaldības kā saistošo noteikumu izdošanas tiesisko  pamatojumu norāda Invaliditātes likuma 12.panta (6</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saistošo noteikumu nosaukuma norāda, uz kāda normatīvā akta pamata tie ir sagatavoti (izdošanas tiesiskais pamatojums) – tiek norādīts gan augstāka juridiskā spēka normatīvais akts (likums vai MK noteikumi), gan konkrēta norma, kurā ietverts pilnvarojums saistošo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nosaka, ka, ja spēku zaudē normatīvā akta izdošanas tiesiskais pamats (augstāka juridiska spēka tiesību norma, uz kuras pamata izdots cits normatīvais akts), tad spēku zaudē arī uz šā pamata izdotais normatīvais akts vai tā daļa. Minētais attiecināms arī uz saistošajiem noteikumiem, proti, ja spēku zaudē likums vai Ministru kabineta noteikumi vai to norma, uz kuras pamata ir izdoti saistošie noteikumi, tad spēku zaudē arī šie saistošie noteikumi vai to daļa (ja to izdošanai ir vairāki tiesiskie pamati). Gadījumā, ja spēku zaudējušās normas vietā ir stājusies spēkā cita norma, kas satur pilnvarojumu saistošo noteikumu izdošanai, tad tik un tā pašvaldībai ir jāizdod jauni saistošie noteikumi, un nepietiek ar saistošo noteikumu izdošanas tiesiskā pamatojuma grozīšanu.[1]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Invaliditātes likumā tiek izslēgta 12.panta (6</w:t>
            </w:r>
            <w:r w:rsidR="00000000" w:rsidRPr="00000000" w:rsidDel="00000000">
              <w:rPr>
                <w:vertAlign w:val="superscript"/>
                <w:rtl w:val="0"/>
              </w:rPr>
              <w:t xml:space="preserve">2</w:t>
            </w:r>
            <w:r w:rsidR="00000000" w:rsidRPr="00000000" w:rsidDel="00000000">
              <w:rPr>
                <w:rtl w:val="0"/>
              </w:rPr>
              <w:t xml:space="preserve">) daļa, un saistošo noteikumu izdošanas tiesiskajā pamatojumā ietverta atsauce uz šo normu, tad spēku var zaudēt arī saistošie noteikumi vai to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saistošie noteikumi vai to daļa nezaudētu spēku, tiek ierosināts noteikt pārejas periodu, kurā piemērojami uz Invaliditātes likuma 12.panta (62) daļas izdotie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Vadlīnijas par saistošo noteikumu projektu izstrādes juridisko tehniku, https://www.varam.gov.lv/lv/media/5853/download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SPSPL un IL grozījumi stāsies spēkā vienlaicīgi un ietvertajos grozījumos SPSPL, lai saņemtu Aprūpes mājās pakalpojumu bērniem ir noteikts labvēlīgāks regulējums, kā to šobrīd paredz IL, pārejas periods iepriekš izdotajiem pašvaldību saistošajiem noteikumiem, kas izdoti pamatojoties uz IL normām, nevar tikt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pašvaldības saistošie noteikumi līdz mirklim, kad IL un SPSPL grozījumi stāsies spēkā, netiks grozīti vai izdoti jaunā redakcijā (saskaņā ar SPSPL jauno regulējumu attiecībā uz Aprūpes mājās pakalpojumu), Aprūpes mājās pakalpojums bērniem ir piemērojams un nodrošināms atbilstoši augstāka juridiska spēka normatīvajam aktam, t.i. SPSPL minētajam. Pat ja jauni pašvaldību saistošie noteikumi kāda iemesla dēļ netiktu izdoti līdz SPSPL likuma spēkā stāšanās dienai, pašvaldībām būs pienākums Aprūpes pakalpojumu nodrošināt balstoties uz augstāka juridiska spēka tiesību normu (SPSPL un MK noteikumi) pamata. Vienlaikus mudinām pašvaldībām nodrošināt savlaicīgu saistošo noteikumu pārizdošanu un vēršam uzmanību, ka SPSPL 3.panta trešā daļa jau šobrīd nosaka, ka kārtību, kādā saņemami pašvaldību sniegtie sociālie pakalpojumi, nosaka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arī, izstrādājot MK 2023. gada 19. decembra noteikumus Nr. 816 “Grozījumi Ministru kabineta 2021. gada 18. maija noteikumos Nr. 316 "Noteikumi par asistenta, pavadoņa un aprūpes pakalpojumu personām ar invaliditāti"”, noteikumos tika iekļauts pārejas noteikumu 47.1punkts, kas nosaka, ka šo noteikumu VI nodaļā minēto līdzfinansējumu pašvaldībām nodrošina arī tad, ja bērnam, kuram komisija izsniegusi atzinums par īpašas kopšanas nepieciešamību, aprūpes pakalpojums ir piešķirts līdz 2023. gada 31. decembrim, - šādā gadījumā aprūpes pakalpojuma sniedzējs līdz dienai, kad stājas spēkā grozījumi normatīvajos aktos par aprūpes pakalpojumu bērniem ar invaliditāti, bet ne vēlāk kā līdz 2024. gada 30. jūnijam noslēdz līgumu ar Sociālo pakalpojumu sniedzēju reģistrā reģistrētu aprūpes mājās pakalpojuma sniedzēju. Tādējādi saskaņā ar šo normu jau tika noteikts pārejas periods, lai sakārtotu jautājumu par aprūpes mājās pakalpojumu bērniem, kuriem ir VDEĀVK atzinums par īpašas kopšanas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w:t>
            </w:r>
            <w:r w:rsidR="00000000" w:rsidRPr="00000000" w:rsidDel="00000000">
              <w:rPr>
                <w:vertAlign w:val="superscript"/>
                <w:rtl w:val="0"/>
              </w:rPr>
              <w:t xml:space="preserve">2 </w:t>
            </w:r>
            <w:r w:rsidR="00000000" w:rsidRPr="00000000" w:rsidDel="00000000">
              <w:rPr>
                <w:rtl w:val="0"/>
              </w:rPr>
              <w:t xml:space="preserve">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3.sadaļu, jo likumprojekta 3.pants paredz, ka personām, kurām Latvijā izsniegta termiņuzturēšanās atļauja kā ES zilās kartes turētājiem un viņu ģimenes locekļiem un viņu pastāvīgā uzturēšanās vieta ir Latvijā, būs tiesības uz prognozējamas invaliditātes vai invaliditātes ekspertīzi, vienlaikus atbilstoši anotācijā norādītajam labvēlīga Veselības un darbspēju ekspertīzes ārstu valsts komisijas lēmuma gadījumā tiem secīgi būs tiesības saņemt nepieciešamos pabalstus un pakalpojumus invaliditātes seku mazināšanai, tādējādi paplašinot invaliditātes pabalstu un pakalpojumu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3. sadaļa, skaidrojot, ka līdz šim neviena persona kā ES Zilās kartes turētājs vai tā ģimenes loceklis nav vērsusies uz prognozējamas invaliditātes vai invaliditātes ekspertīzi, tādējādi finansiālās ietekmes izvērtēšana ekspertīzes veikšanai un secīgu atbalsta pakalpojumu nodrošināšanai invaliditātes seku mazināšanai, nav veicama. Tāpat nav iespējams prognozēt, cik daudz personu ar šo statusu varētu vērsties invaliditātes ekspertīzes veikšanai. Pat tad, ja šie cilvēki pretendēs uz invaliditātes ekspertīzi Latvijā, nav paredzama daudzskaitlīga šo personu ieiešana invaliditātes sistēmā, tādējādi nav paredzams, ka šis personas radīs finansiālo slogu valsts budžetam invaliditātes sistēmas ietvaros. Jau šobrīd tiesības uz noteiktu sociālo aizsardzības līmeni tiek nodrošinātas tām personām, kurām ir termiņuzturēšanās atļauja un tās veic sociālās apdrošināšanas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kas Invaliditātes likuma 3.</w:t>
            </w:r>
            <w:r w:rsidR="00000000" w:rsidRPr="00000000" w:rsidDel="00000000">
              <w:rPr>
                <w:vertAlign w:val="superscript"/>
                <w:rtl w:val="0"/>
              </w:rPr>
              <w:t xml:space="preserve">1</w:t>
            </w:r>
            <w:r w:rsidR="00000000" w:rsidRPr="00000000" w:rsidDel="00000000">
              <w:rPr>
                <w:rtl w:val="0"/>
              </w:rPr>
              <w:t xml:space="preserve"> panta trešo daļu papildina ar 34.punktu, paredz, ka tiesības apstrādāt informācijas sistēmā iekļauto informāciju saistībā ar prognozējamu invaliditāti un invaliditāti būs biedrībai “Resursu centrs cilvēkiem ar garīgiem traucējumiem “Zelda””. Lūdzam papildināt anotāciju, norādot kāda finansējuma ietvaros tiks īstenota minētā likumprojekta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būs nepieciešams veikt grozījumus Ministru kabineta 2022. gada 6. decembra noteikumos Nr. 759 "Invaliditātes informatīvās sistēmas noteikumi", lūdzam papildināt anotāciju ar norādi arī uz 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 sadaļa ar norādi uz Ministru kabineta 2022. gada 6. decembra noteikumiem Nr. 759 "Invaliditātes informatīvās sistēmas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korekti un pilnībā atspoguļojot informāciju par likumprojekta atbilstību starptautiskajām saistībām un Eiropas Savienības tiesību normu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likumprojekta 4. panta redakcijai ar to tiek ieviesta Eiropas Parlamenta un Padomes 2004. gada 29. aprīļa Regula (EK) Nr. 883/2004 par sociālās nodrošināšanas sistēmu koordinēšanu. Vienlaicīgi iesakām izvērtēt, vai likumprojektā tiešām nepieciešams ietvert vispārīgu atsauci uz visu regulu kopumā vai arī ir iespējams norādīt atsauci uz konkrētām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20. oktobra direktīvas (ES) 2021/1883 par trešo valstu valstspiederīgo ieceļošanas un uzturēšanās nosacījumiem augsti kvalificētas nodarbinātības nolūkā un ar ko atceļ Padomes Direktīvu 2009/50/EK (turpmāk - Direktīva 2021/1883) 31. panta pirmā punkta 2.daļa pārņemta likumprojekta 6. punktā. Attiecīgi, iesakām to konkrēti norādīts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2021/1883 31. panta pirmā punkta 2.daļa neparedz dalībvalstīm rīcības brīvību, bet gan uzdevumu, tiesību normu pārņemšanas gadījumā, konkrētajā normatīvajā aktā ietvert  atsauci uz šo Eiropas Savienības direktīvu. Attiecīgi iesakām precizēt anotācijas 5.4. apakšsadaļas 1. tabulas rīcības brīvības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5.4. apakšsadaļas 1. tabulas "B" ailēs nekorekti norādītas likumprojekta vienības. Proti, likumprojektā nav 7.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Direktīvas 2021/1883 16. panta pirmās daļas izriet Eiropas Savienības zilās kartes turētāju tiesības saņemt, piemēram, tādus pakalpojumus kā izglītība un arodmācības un diplomu, sertifikātu un citu profesionālo kvalifikāciju atzīšanu saskaņā ar attiecīgajām valsts procedūrām. Savukārt Invaliditātes likuma 7. panta 2. daļas 7. punkts nosaka, ka personai, kurai izsniegta termiņuzturēšanās atļauja Latvijas Republikā, ir tiesības uz prognozējamas invaliditātes un invaliditātes ekspertīzi, ja tā ir Eiropas Savienības zilās kartes turētāja un tās pastāvīgā dzīvesvieta termiņuzturēšanās atļaujas derīguma laikā ir Latvijas Republikas teritorijā. Attiecīgi, likumprojekts šķietami nepārņem visu Direktīvas 2021/1883 16. panta 1. daļu. Pamatojoties uz minēto, iesakām izvērtēt un, nepieciešamības gadījumā, veikt vajadzīgos precizējumus anotācijā nolūkā pārliecināties un nodrošināt korektu, pilnīgu Direktīva 2021/1883 16. panta pirmās daļas pārņemšanu un tās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anotācijas 5.sadaļa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anotācijas sadaļu ar datu apstrādes atbilstības izvērtējumu atbilstoši Eiropas Parlamenta un Padomes Regulas (ES) 2016/679 par fizisko personu aizsardzību attiecībā uz personas datu apstrādi un šādu datu brīvu apriti un ar ko atceļ Direktīvu 95/46/EK (Vispārīgā datu aizsardzības regula)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Pabalstu par asistenta izmantošanu Valsts sociālās apdrošināšanas aģentūra bez maksas pārskaita pabalsta saņēmēja kontā Latvijas Republikas kredītiestādē vai pasta norēķinu sistēmā (PNS) vai pēc pabalsta saņēmēja pieprasījuma piegādā viņa dzīvesvietā Latvijā par maksu, ieturot no pabalsta tā piegādes izdevumus atbilstoši gadskārtējā valsts budžeta likumā noteiktajai maksai par pensijas, pabalsta vai atlīdzības piegādi. Minēto pabalstu Valsts sociālās apdrošināšanas aģentūra var pārskaitīt arī citā Eiropas Ekonomikas zonas atvērtajā maksājumu kontā, kurā var ieskaitīt maksājumu </w:t>
            </w:r>
            <w:r w:rsidR="00000000" w:rsidRPr="00000000" w:rsidDel="00000000">
              <w:rPr>
                <w:i w:val="1"/>
                <w:rtl w:val="0"/>
              </w:rPr>
              <w:t xml:space="preserve">euro</w:t>
            </w:r>
            <w:r w:rsidR="00000000" w:rsidRPr="00000000" w:rsidDel="00000000">
              <w:rPr>
                <w:rtl w:val="0"/>
              </w:rPr>
              <w:t xml:space="preserve"> valūtā, ieturot no pabalsta bankas vai kredītiestādes komisijas maksu par pārskaitījumu ārpus Latvijas Republikas. Komisijas maksu no pabalsta ietur arī tad, ja pabalsta saņēmēja neprecīzi norādītās informācijas dēļ maksājumu veic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5.pantā izteikto Invaliditātes likuma 12.panta 4.</w:t>
            </w:r>
            <w:r w:rsidR="00000000" w:rsidRPr="00000000" w:rsidDel="00000000">
              <w:rPr>
                <w:vertAlign w:val="superscript"/>
                <w:rtl w:val="0"/>
              </w:rPr>
              <w:t xml:space="preserve">1</w:t>
            </w:r>
            <w:r w:rsidR="00000000" w:rsidRPr="00000000" w:rsidDel="00000000">
              <w:rPr>
                <w:rtl w:val="0"/>
              </w:rPr>
              <w:t xml:space="preserve"> daļas redakciju, pirms vārdiem “Pabalstu par asistenta izmantošanu”, lietojot vārdus “Šā panta pirmās daļas 2.punktā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Šā panta pirmās daļas 2.punktā minēto pabalstu par asistenta izmantošanu Valsts sociālās apdrošināšanas aģentūra bez maksas pārskaita pabalsta saņēmēja kontā Latvijas Republikas kredītiestādē vai pasta norēķinu sistēmā (PNS) vai pēc pabalsta saņēmēja pieprasījuma piegādā viņa dzīvesvietā Latvijā par maksu, ieturot no pabalsta tā piegādes izdevumus atbilstoši gadskārtējā valsts budžeta likumā noteiktajai maksai par pensijas, pabalsta vai atlīdzības piegādi. Minēto pabalstu Valsts sociālās apdrošināšanas aģentūra var pārskaitīt arī citā Eiropas Ekonomikas zonas atvērtajā maksājumu kontā, kurā var ieskaitīt maksājumu </w:t>
            </w:r>
            <w:r w:rsidR="00000000" w:rsidRPr="00000000" w:rsidDel="00000000">
              <w:rPr>
                <w:i w:val="1"/>
                <w:rtl w:val="0"/>
              </w:rPr>
              <w:t xml:space="preserve">euro</w:t>
            </w:r>
            <w:r w:rsidR="00000000" w:rsidRPr="00000000" w:rsidDel="00000000">
              <w:rPr>
                <w:rtl w:val="0"/>
              </w:rPr>
              <w:t xml:space="preserve"> valūtā, ieturot no pabalsta bankas vai kredītiestādes komisijas maksu par pārskaitījumu ārpus Latvijas Republikas. Komisijas maksu no pabalsta ietur arī tad, ja pabalsta saņēmēja neprecīzi norādītās informācijas dēļ maksājumu veic atkārtoti.";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Datus par šā panta pirmās daļas 3., 3.</w:t>
            </w:r>
            <w:r w:rsidR="00000000" w:rsidRPr="00000000" w:rsidDel="00000000">
              <w:rPr>
                <w:vertAlign w:val="superscript"/>
                <w:rtl w:val="0"/>
              </w:rPr>
              <w:t xml:space="preserve">1</w:t>
            </w:r>
            <w:r w:rsidR="00000000" w:rsidRPr="00000000" w:rsidDel="00000000">
              <w:rPr>
                <w:rtl w:val="0"/>
              </w:rPr>
              <w:t xml:space="preserve">, 4. un 4.</w:t>
            </w:r>
            <w:r w:rsidR="00000000" w:rsidRPr="00000000" w:rsidDel="00000000">
              <w:rPr>
                <w:vertAlign w:val="superscript"/>
                <w:rtl w:val="0"/>
              </w:rPr>
              <w:t xml:space="preserve">1</w:t>
            </w:r>
            <w:r w:rsidR="00000000" w:rsidRPr="00000000" w:rsidDel="00000000">
              <w:rPr>
                <w:rtl w:val="0"/>
              </w:rPr>
              <w:t xml:space="preserve"> punktā minētā asistenta pakalpojuma pašvaldībā, augstskolā un koledžā un pavadoņa pakalpojuma un sniedzēju, šo pakalpojumu nepieciešamības novērtēšanu un nodrošināšanu iekļauj Valsts sociālās politikas monitoringa informācijas sistēmā Ministru kabineta noteiktajā apjomā un atbilstoši tā noteiktajiem datu apstrādes noteikumiem un kārtībai un institūciju sadarbības noteikumiem. Tiesības apstrādāt šajā informācijas sistēmā iekļauto informāciju saistībā ar asistenta pakalpojuma pašvaldībā, augstskolā un koledžā un pavadoņa pakalpojuma nodrošināšanu, tostarp personas datus, ir šādām institūcijām to darbību reglamentējošos normatīvajos aktos noteikto funkciju un uzdevumu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precizēt pantu, papildinot pirmo teikumu aiz vārdiem "pavadoņa pakalpojuma" ar vārdu "saņēmēju", lai likumprojekta norma būtu loģiska un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Datus par šā panta pirmās daļas 3., 3.</w:t>
            </w:r>
            <w:r w:rsidR="00000000" w:rsidRPr="00000000" w:rsidDel="00000000">
              <w:rPr>
                <w:vertAlign w:val="superscript"/>
                <w:rtl w:val="0"/>
              </w:rPr>
              <w:t xml:space="preserve">1</w:t>
            </w:r>
            <w:r w:rsidR="00000000" w:rsidRPr="00000000" w:rsidDel="00000000">
              <w:rPr>
                <w:rtl w:val="0"/>
              </w:rPr>
              <w:t xml:space="preserve">, 4. un 4.</w:t>
            </w:r>
            <w:r w:rsidR="00000000" w:rsidRPr="00000000" w:rsidDel="00000000">
              <w:rPr>
                <w:vertAlign w:val="superscript"/>
                <w:rtl w:val="0"/>
              </w:rPr>
              <w:t xml:space="preserve">1</w:t>
            </w:r>
            <w:r w:rsidR="00000000" w:rsidRPr="00000000" w:rsidDel="00000000">
              <w:rPr>
                <w:rtl w:val="0"/>
              </w:rPr>
              <w:t xml:space="preserve"> punktā minētā asistenta pakalpojuma pašvaldībā, augstskolā un koledžā un pavadoņa pakalpojuma saņēmēju un sniedzēju, šo pakalpojumu nepieciešamības novērtēšanu un nodrošināšanu iekļauj Valsts sociālās politikas monitoringa informācijas sistēmā Ministru kabineta noteiktajā apjomā un atbilstoši tā noteiktajiem datu apstrādes noteikumiem un kārtībai un institūciju sadarbības noteikumiem. Tiesības apstrādāt šajā informācijas sistēmā iekļauto informāciju saistībā ar asistenta pakalpojuma pašvaldībā, augstskolā un koledžā un pavadoņa pakalpojuma nodrošināšanu, tostarp personas datus, ir šādām institūcijām to darbību reglamentējošos normatīvajos aktos noteikto funkciju un uzdevumu izpildei:”.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lietot vienotu Veselības un darbspēju ekspertīzes ārstu valsts komisijas saīsinājumu (Valsts komisija vai VDEĀVK).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kas Invaliditātes likuma 3.</w:t>
            </w:r>
            <w:r w:rsidR="00000000" w:rsidRPr="00000000" w:rsidDel="00000000">
              <w:rPr>
                <w:vertAlign w:val="superscript"/>
                <w:rtl w:val="0"/>
              </w:rPr>
              <w:t xml:space="preserve">1</w:t>
            </w:r>
            <w:r w:rsidR="00000000" w:rsidRPr="00000000" w:rsidDel="00000000">
              <w:rPr>
                <w:rtl w:val="0"/>
              </w:rPr>
              <w:t xml:space="preserve"> panta trešo daļu papildina ar 34.punktu, paredz, ka tiesības apstrādāt informācijas sistēmā iekļauto informāciju saistībā ar prognozējamu invaliditāti un invaliditāti būs biedrībai “Resursu centrs cilvēkiem ar garīgiem traucējumiem “Zelda””. Lūdzam papildināt anotāciju, norādot atsauci uz MK 15.08.2023. sēdes protokolu Nr.40 43.§, vienlaikus norādot, ka ar minēto protokollēmumu atbalsta personas lēmumu pieņemšanā pakalpojumam tika piešķirts finansējums 2024.gadam 629 415 </w:t>
            </w:r>
            <w:r w:rsidR="00000000" w:rsidRPr="00000000" w:rsidDel="00000000">
              <w:rPr>
                <w:i w:val="1"/>
                <w:rtl w:val="0"/>
              </w:rPr>
              <w:t xml:space="preserve">euro</w:t>
            </w:r>
            <w:r w:rsidR="00000000" w:rsidRPr="00000000" w:rsidDel="00000000">
              <w:rPr>
                <w:rtl w:val="0"/>
              </w:rPr>
              <w:t xml:space="preserve">, tai skaitā 118 580 </w:t>
            </w:r>
            <w:r w:rsidR="00000000" w:rsidRPr="00000000" w:rsidDel="00000000">
              <w:rPr>
                <w:i w:val="1"/>
                <w:rtl w:val="0"/>
              </w:rPr>
              <w:t xml:space="preserve">euro</w:t>
            </w:r>
            <w:r w:rsidR="00000000" w:rsidRPr="00000000" w:rsidDel="00000000">
              <w:rPr>
                <w:rtl w:val="0"/>
              </w:rPr>
              <w:t xml:space="preserve"> paredzēti informācijas sistēmas SPOLIS pakalpojumu moduļu izstrādei, un 2025.gadam un turpmāk ik gadu 629 321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atsauci uz MK 15.08.2023. sēdes protokolu Nr.40 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2004. gada 29. aprīļa Regula (EK) Nr. 883/2004 par sociālās nodrošināšanas sistēmu koordinēšanu (turpmāk - Regula 883/2004).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pie piemēriem, kas skaidro situāciju, ja iesniegums atkārtotas invaliditātes ekspertīzes noteikšanai iesniegts vairāk kā divus mēnešus līdz iepriekš noteiktā invaliditātes termiņa, precizējams 1.piemērs, ņemot vērā, ja VDEĀVK izvērtē un pieņem lēmumu 2024.gada 27.decembrī, tad administratīvā akta izdošanas datums nevar būt 2024.gada 27.februāris.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pie piemēriem, kas skaidro situāciju, ja iesniegums atkārtotas invaliditātes ekspertīzes noteikšanai iesniegts mazāk kā divus mēnešus līdz iepriekš noteiktā invaliditātes termiņa, precizējams 2.piemērs, jo ievaddaļā tiek norādīta situācija, ja atkārtotas invaliditātes ekspertīzes gadījumā tiek noteikta smagāka invaliditātes grupa, savukārt tālāk tiek norādīts, ka tiek noteikta vieglāka invaliditātes grupa, t.i. no II invaliditātes grupas uz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4.1.1.apakšsadaļas punktā “Pamatojums un apraksts” norādīto informāciju, jo nav saprotams kas tiek domāts ar vārdiem “Likumprojekta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 sadaļu pilnībā atspoguļojot informāciju par likumprojekta atbilstību Eiropas Savienības tiesību normu ieviešanu. Vēršam uzmanību, ka no likumprojekta 4. panta redakcijas izriet </w:t>
            </w:r>
            <w:r w:rsidR="00000000" w:rsidRPr="00000000" w:rsidDel="00000000">
              <w:rPr>
                <w:i w:val="1"/>
                <w:rtl w:val="0"/>
              </w:rPr>
              <w:t xml:space="preserve">Eiropas Parlamenta un Padomes 2004. gada 29. aprīļa Regulas (EK) Nr. 883/2004 par sociālās nodrošināšanas sistēmu koordinēšanu</w:t>
            </w:r>
            <w:r w:rsidR="00000000" w:rsidRPr="00000000" w:rsidDel="00000000">
              <w:rPr>
                <w:rtl w:val="0"/>
              </w:rPr>
              <w:t xml:space="preserve"> ieviešana. Vienlaicīgi iesakām izvērtēt, vai likumprojektā tiešām nepieciešams ietvert vispārīgu atsauci uz visu regulu kopumā vai arī ir iespējams norādīt atsauci uz konkrētām regulas vienībām. Atbilstoši izziņā sniegtajai informācijai Tieslietu ministrijas iepriekš izteiktais iebildums tika ņemts vērā, attiecīgi anotācijas 5.4. apakšsadaļā vajadzētu būt iekļautiem skaidrojumiem arī par Eiropas Parlamenta un Padomes 2004. gada 29. aprīļa Regulu (EK) Nr. 883/2004 par sociālās nodrošināšanas sistēmu koordinēšanu.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papildināta ar informāciju par Eiropas Parlamenta un Padomes 2004. gada 29. aprīļa Regulas (EK) Nr. 883/2004 par sociālās nodrošināšanas sistēmu koordinēšanu atbilstību likumprojekta 4.panta redakcijai, iekļaujot informāciju, ka likumprojektā saglabāta vispārīga atsauce uz Eiropas Parlamenta un Padomes 2004. gada 29. aprīļa Regulu (EK) Nr. 883/2004 par sociālās nodrošināšanas sistēmu koordinēšanu, saglabājot šobrīd spēkā esošās redakcijas pieeju.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2. tabulas Eiropas Parlamenta un Padomes 2021. gada 20. oktobra Direktīvas (ES) 2021/1883 par trešo valstu valstspiederīgo ieceļošanas un uzturēšanās nosacījumiem augsti kvalificētas nodarbinātības nolūkā un ar ko atceļ Padomes Direktīvu 2009/50/EK (turpmāk - Direktīva 2021/1883) 16. panta pirmās daļas e) apakšpunkta rindas "C" aili, izvērtējot, vai korekti norādīts uz pilnīgu Direktīvas 2021/1883 16. panta pirmās daļas e) apakšpunkta pārņemšanu likumprojekta 3. punktā (Invaliditātes likuma 7. panta otrās daļas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Invaliditātes likuma 7. panta otrās daļas 7. punkta izriet, ka "</w:t>
            </w:r>
            <w:r w:rsidR="00000000" w:rsidRPr="00000000" w:rsidDel="00000000">
              <w:rPr>
                <w:i w:val="1"/>
                <w:rtl w:val="0"/>
              </w:rPr>
              <w:t xml:space="preserve">personai, kurai izsniegta termiņuzturēšanās atļauja Latvijas Republikā, ir tiesības uz prognozējamas invaliditātes un invaliditātes ekspertīzi, ja tā ir Eiropas Savienības zilās kartes turētāja un tās pastāvīgā dzīvesvieta termiņuzturēšanās atļaujas derīguma laikā ir Latvijas Republikas teritorijā</w:t>
            </w:r>
            <w:r w:rsidR="00000000" w:rsidRPr="00000000" w:rsidDel="00000000">
              <w:rPr>
                <w:rtl w:val="0"/>
              </w:rPr>
              <w:t xml:space="preserve">". Savukārt no Direktīvas 2021/1883 16. panta pirmās daļas e) apakšpunkta izriet plašāks tvērums, jo tajā minētais "Regulas (EK) Nr. 883/2004 3. pants" attiecas arī, piemēram, uz tādu sociālo nodrošinājumu kā "maternitātes un līdzvērtīgi paternitātes pabalst", kas nav saistīts ar konkrēto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konstatējams, ka Direktīvas 2021/1883 16. panta pirmās daļas e) apakšpunkts likumprojektā tiek pārņemts daļēji, kas norādāms arī 5.4. apakšsadaļas 1. tabulas "C" ailē, papildus skaidrojot arī to, kā konkrētā tiesību norma Latvijas nacionālajos tiesību aktos, tiek pārņemta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w:t>
    </w:r>
    <w:r>
      <w:br/>
    </w:r>
    <w:r w:rsidR="00000000" w:rsidRPr="00000000" w:rsidDel="00000000">
      <w:rPr>
        <w:rtl w:val="0"/>
      </w:rPr>
      <w:t xml:space="preserve">11.06.2024. 16.02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w:t>
    </w:r>
    <w:r>
      <w:br/>
    </w:r>
    <w:r w:rsidR="00000000" w:rsidRPr="00000000" w:rsidDel="00000000">
      <w:rPr>
        <w:rtl w:val="0"/>
      </w:rPr>
      <w:t xml:space="preserve">11.06.2024. 16.02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Izziņa_23-TA-116.docx</dc:title>
</cp:coreProperties>
</file>

<file path=docProps/custom.xml><?xml version="1.0" encoding="utf-8"?>
<Properties xmlns="http://schemas.openxmlformats.org/officeDocument/2006/custom-properties" xmlns:vt="http://schemas.openxmlformats.org/officeDocument/2006/docPropsVTypes"/>
</file>