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22-TA-798: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atbilstības novērtēšanu"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6.punktā ir paredzēts papildināt likumu ar III</w:t>
            </w:r>
            <w:r w:rsidR="00000000" w:rsidRPr="00000000" w:rsidDel="00000000">
              <w:rPr>
                <w:vertAlign w:val="superscript"/>
                <w:rtl w:val="0"/>
              </w:rPr>
              <w:t xml:space="preserve">1</w:t>
            </w:r>
            <w:r w:rsidR="00000000" w:rsidRPr="00000000" w:rsidDel="00000000">
              <w:rPr>
                <w:rtl w:val="0"/>
              </w:rPr>
              <w:t xml:space="preserve"> nodaļu, tostarp 9.</w:t>
            </w:r>
            <w:r w:rsidR="00000000" w:rsidRPr="00000000" w:rsidDel="00000000">
              <w:rPr>
                <w:vertAlign w:val="superscript"/>
                <w:rtl w:val="0"/>
              </w:rPr>
              <w:t xml:space="preserve">9</w:t>
            </w:r>
            <w:r w:rsidR="00000000" w:rsidRPr="00000000" w:rsidDel="00000000">
              <w:rPr>
                <w:rtl w:val="0"/>
              </w:rPr>
              <w:t xml:space="preserve"> panta pirmo daļu šadā redakcijā: "Tādu preču kontroli, kurām piemēro muitas procedūru “laišana brīvā apgrozībā”, veic muitas iestāde sadarbībā ar konkrētās jomas tirgus uzraudzības iestādi, tai skaitā pēc tirgus uzraudzības iestādes pamatota pieprasījuma, vai pamatojoties uz citas Eiropas Savienības dalībvalsts muitas iestādes sniegtu informāciju. Sadarbība notiek, pamatojoties uz Regulas (ES) 2019/1020 11. panta trešajā 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pārvalde nodrošina tirgus uzraudzības pasākumus atbilstoši Eiropas Parlamenta un Padomes 2019.gada 20.jūnija Regulas (ES) 2019/1020 par tirgus uzraudzību un produktu atbilstību un ar ko groza Direktīvu 2004/42/EK un Regulas (EK) Nr. 765/2008 un (ES) Nr. 305/2011 (turpmāk - Regula Nr. 2019/1020)  VII nodaļā “Produkti, ko ieved Savienības tirgū” noteiktajam, kur citā starpā arī noteikta sadarbība ar tirgus uzraudzības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Regulas Nr.2019/1020 11.panta 3.punkts nosaka tikai tirgus uzraudzības iestāžu darbības, 9.</w:t>
            </w:r>
            <w:r w:rsidR="00000000" w:rsidRPr="00000000" w:rsidDel="00000000">
              <w:rPr>
                <w:vertAlign w:val="superscript"/>
                <w:rtl w:val="0"/>
              </w:rPr>
              <w:t xml:space="preserve">9</w:t>
            </w:r>
            <w:r w:rsidR="00000000" w:rsidRPr="00000000" w:rsidDel="00000000">
              <w:rPr>
                <w:rtl w:val="0"/>
              </w:rPr>
              <w:t xml:space="preserve"> panta pirmajā daļā būtu precizējams, ka sadarbība noteik arī saskaņā ar Regulas Nr. 2019/1020 VII nodaļā “Produkti, ko ieved Savienības tirgū”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preču kontroli, kurām piemēro muitas procedūru “laišana brīvā apgrozībā”, veic muitas iestāde sadarbībā ar konkrētās jomas tirgus uzraudzības iestādi, tai skaitā pēc tirgus uzraudzības iestādes pamatota pieprasījuma, vai pamatojoties uz citas Eiropas Savienības dalībvalsts muitas iestādes sniegtu informāciju. Sadarbība notiek, pamatojoties uz Regulas (ES) 2019/1020 VII nodaļā “Produkti, ko ieved Savienības tirgū” un 11. panta 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redakcija atbilstoši piedāvātajam.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mērķis ir noteikt, kādi apdrošinājuma veidi obligāti jāiekļauj apdrošināšanas līguma nosacījumos (piemēram, veselībai, dzīvībai, mantai, videi vai citi). Šobrīd nevienā likumā vai Ministru kabineta noteikumos netiek lietots termins “zaudējumu </w:t>
            </w:r>
            <w:r w:rsidR="00000000" w:rsidRPr="00000000" w:rsidDel="00000000">
              <w:rPr>
                <w:b w:val="1"/>
                <w:u w:val="single"/>
                <w:rtl w:val="0"/>
              </w:rPr>
              <w:t xml:space="preserve">minimālie</w:t>
            </w:r>
            <w:r w:rsidR="00000000" w:rsidRPr="00000000" w:rsidDel="00000000">
              <w:rPr>
                <w:rtl w:val="0"/>
              </w:rPr>
              <w:t xml:space="preserve"> veidi” un praksē tas nerada risku. Ja apdrošinājuma ņēmējs ir izteicis vēlmi iekļaut līgumā papildus zaudējumu veidus, pusēm ir tiesības par to vienoties. Iekļaujot regulējuma tekstu “atlīdzināmo zaudējumu minimālos veidus” tiek vērsta uzmanība uz zaudējumu veidu daudzumu, kas nav regulējuma mērķis, turklāt tas neatbilst šobrīd normatīvajos aktos izmantotajai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minimālo limitu paziņoto institūciju profesionālās civiltiesiskās atbildības apdrošināšanai, kā arī atlīdzināmo zaudējumu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atbilstoši piedāvātajam.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6.panta ir secināms, ka tirgus uzraudzības iestāde preces neatbilstību prasībām var konstatēt divos veidos, proti, pati (tirgus uzraudzības iestāde), veicot kontroli, vai saņemot paziņojumu no citas Eiropas Savienības dalībvalsts. Atbilstoši likumprojekta 6.pantam (likuma 9.</w:t>
            </w:r>
            <w:r w:rsidR="00000000" w:rsidRPr="00000000" w:rsidDel="00000000">
              <w:rPr>
                <w:vertAlign w:val="superscript"/>
                <w:rtl w:val="0"/>
              </w:rPr>
              <w:t xml:space="preserve">9</w:t>
            </w:r>
            <w:r w:rsidR="00000000" w:rsidRPr="00000000" w:rsidDel="00000000">
              <w:rPr>
                <w:rtl w:val="0"/>
              </w:rPr>
              <w:t xml:space="preserve"> panta septītajai daļai) ir noteikts, ka muitas iestāde ņem vērā tirgus uzraudzības iestādes sniegto informāciju, piešķirot saimnieciskās darbības veicējam atzīta uzņēmēja statusu. Līdz ar to lūdzam papildināt regulējumu ar normu, ar kuru tiek noteikts pienākums tirgus uzraudzības iestādei attiecīgi informēt muitas iestādi par konstatēto, informēšanas procesu detalizēti aprakstot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2019/1020 25. panta 4. un 5. punkts noteic gan tirgus uzraudzības iestāžu pienākumu informēt muitas iestādi par to produktu kategorijām vai to uzņēmēju identitāti, attiecībā uz kuriem ir konstatēts lielāks neatbilstības risks, gan arī par to, kā veicama šāda informācijas apmaiņa. Minētās normas var tikt piemērotas tieši, neveicot papildu precizējumus par to piemērošanu nacionālajā regulējumā. Par to, ka tirgus uzraudzības iestādes informē muitas iestādi par konstatētajiem lielākiem neatbilstības riskiem saskaņā ar minēto Regulas 2019/1020 normu, ir norādīts arī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likumprojekta 6.pantu (likuma 9.</w:t>
            </w:r>
            <w:r w:rsidR="00000000" w:rsidRPr="00000000" w:rsidDel="00000000">
              <w:rPr>
                <w:vertAlign w:val="superscript"/>
                <w:rtl w:val="0"/>
              </w:rPr>
              <w:t xml:space="preserve">9</w:t>
            </w:r>
            <w:r w:rsidR="00000000" w:rsidRPr="00000000" w:rsidDel="00000000">
              <w:rPr>
                <w:rtl w:val="0"/>
              </w:rPr>
              <w:t xml:space="preserve">panta trešo daļu) ir paredzēts noteikt muitas iestādei pienākumu pēc tirgus uzraudzības iestādes pieprasījuma sniegt tās rīcībā esošās ziņas par preču importētājiem, nosūtītājiem un precēm (tai skaitā par to daudzumiem), kurām piemērota muitas procedūra “laišana brīvā apgrozībā”. Vēršam uzmanību, ka nodokļu administrācijas rīcībā ir daudz (no dažādiem aspektiem) informācijas par konkrēto nodokļu maksātāju. Līdz ar to lūdzam vismaz likumprojekta anotācijā uzskaitīt datu veidus/apjomu (informācijas veidus), kas tiks pieprasīti muitas iestādei minētās normas ietvaros, kā arī papildināt anotāciju ar paskaidrojumu, ka tirgus uzraudzības iestāde informāciju pieprasīs tikai tādā apjomā, kas nepieciešams konkrētās normatīvajos aktos noteiktās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Atzinumu par šo likumprojektu sniegsim, pamatojoties uz  EM 01.06.2022. plkst. 12:01 atkārtotai saskaņošanai TAP iesniegto likumprojektu  “Grozījumi likumā "Par atbilstības novērtēšanu"” (22-TA-798);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pieņemta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izteiktā likuma "Par atbilstības novērtēšanu" 9.</w:t>
            </w:r>
            <w:r w:rsidR="00000000" w:rsidRPr="00000000" w:rsidDel="00000000">
              <w:rPr>
                <w:vertAlign w:val="superscript"/>
                <w:rtl w:val="0"/>
              </w:rPr>
              <w:t xml:space="preserve">4</w:t>
            </w:r>
            <w:r w:rsidR="00000000" w:rsidRPr="00000000" w:rsidDel="00000000">
              <w:rPr>
                <w:rtl w:val="0"/>
              </w:rPr>
              <w:t xml:space="preserve"> panta pirmā daļa ir papildināta ar jaunu tiesisko regulējumu, kas cita starpā paredz, ka tirgus uzraudzības iestāde savu lēmumu daļēji vai pilnībā ievietos savā mājaslapā un publicēs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70. un 71. pantu administratīvo aktu paziņo adresātam un trešajai personai - atbilstoši Paziņošanas likumam. Paziņošanas likuma 11. pants regulē nosacījumus dokumenta publiskai paziņošanai. Ievērojot minēto, lūdzam papildināt projekta sākotnējās ietekmes novērtējuma ziņojumu (anotāciju) ar skaidrojumu, vai šajā tiesību normā paredzētā informācijas publiskošana ir iecerēta kā lēmuma paziņošana. Ja tas tā ir, tad lūdzam izmantot likumos lietoto terminu, ka dokumentu paziņo, nevis publicē. Tāpat arī lūdzam sniegt pamatojumu nepieciešamībai dokumentu paziņot publiski, ievērojot Paziņošanas likumā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2.1.apakšpunkts papildināts ar skaidrojumu devītajā rindkopā.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sākotnējās ietekmes novērtējuma ziņojumā (anotācijā) tiek skaidrots likumprojekta 8. pantā izteiktā likuma "Par atbilstības novērtēšanu" 15. pantā ietvertais izņēmuma gadījums, kas noteic, ka atbilstības novērtēšanas institūcijas lēmuma apstrīdēšana un pārsūdzēšana neaptur tā darbību, savukārt iztrūkst pamatojuma likumprojekta 6. pantā izteiktā likuma "Par atbilstības novērtēšanu" 9.</w:t>
            </w:r>
            <w:r w:rsidR="00000000" w:rsidRPr="00000000" w:rsidDel="00000000">
              <w:rPr>
                <w:vertAlign w:val="superscript"/>
                <w:rtl w:val="0"/>
              </w:rPr>
              <w:t xml:space="preserve">8</w:t>
            </w:r>
            <w:r w:rsidR="00000000" w:rsidRPr="00000000" w:rsidDel="00000000">
              <w:rPr>
                <w:rtl w:val="0"/>
              </w:rPr>
              <w:t xml:space="preserve"> panta pirmajā daļā ietvertajam tiesiskajam regulējumam. Vēršam uzmanību, ka likumprojektā ietvertā kārtība paredz atkāpi no Administratīvā procesa likuma 185. panta pirmās daļas, kas noteic, ka vispārīgi pieteikuma iesniegšana tiesā par administratīvā akta atcelšanu, atzīšanu par spēku zaudējušu vai spēkā neesošu aptur administratīvā akta darbību no dienas, kad pieteikums saņemts tiesā. Ievērojot minēto, lūdzam papildināt likumprojekta sākotnējās ietekmes novērtējuma ziņojumu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skaidrojums citastarp bija jau ietverts anotācijas I sadaļas 2.1.apakšpunkta astotajā rindkopā, minētā rindkopa ir papildināta ar papildu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9.</w:t>
            </w:r>
            <w:r w:rsidR="00000000" w:rsidRPr="00000000" w:rsidDel="00000000">
              <w:rPr>
                <w:vertAlign w:val="superscript"/>
                <w:rtl w:val="0"/>
              </w:rPr>
              <w:t xml:space="preserve">8 </w:t>
            </w:r>
            <w:r w:rsidR="00000000" w:rsidRPr="00000000" w:rsidDel="00000000">
              <w:rPr>
                <w:rtl w:val="0"/>
              </w:rPr>
              <w:t xml:space="preserve">pantu, ar kuru tiek pārņemts Eiropas Parlamenta un Padomes 2019.gada 17.aprīļa Direktīvas (ES) 2019/882 par produktu un pakalpojumu piekļūstamības prasībām (turpmāk - Piekļūstamības direktīva) 20.panta 5.punkts. Vēršam uzmanību, ka Piekļūstamības direktīvas 20.panta 5.punkts nosaka, ka tirgus uzraudzības iestādes jo īpaši norāda, vai neatbilstība ir saistīta vai nu ar: a) produkta neatbilstību piemērojamām piekļūstamības prasībām; vai b) trūkumiem 15. pantā minētajos saskaņotajos standartos vai tehniskajās specifikācijās, kuri ir par pamatu atbilstības prezumpcijai. Vēršam uzmanību, ka likumprojekta 9.</w:t>
            </w:r>
            <w:r w:rsidR="00000000" w:rsidRPr="00000000" w:rsidDel="00000000">
              <w:rPr>
                <w:vertAlign w:val="superscript"/>
                <w:rtl w:val="0"/>
              </w:rPr>
              <w:t xml:space="preserve">8</w:t>
            </w:r>
            <w:r w:rsidR="00000000" w:rsidRPr="00000000" w:rsidDel="00000000">
              <w:rPr>
                <w:rtl w:val="0"/>
              </w:rPr>
              <w:t xml:space="preserve"> panta pašreizējā redakcijā nav norādīts, ka informācija Eiropas Komisijai un pārējām Eiropas Savienības dalībvalstīm jāsniedz arī tad, ja konstatēti trūkumi tehniskajās specifikācijās, kas ir par pamatu Piekļūstamības direktīvas 15.pantā minētajai atbilstības prezumpcijai (t.i. Eiropas Komisija var izdot īstenošanas aktus, ar kuriem nosaka tehniskās specifikācijas, ja standartizācijas procedūrā ir nepamatoti kavējumi vai neviena Eiropas standartizācijas organizācija nav akceptējusi standartizācijas pieprasījumu).  Tāpat lūdzam izvērtēt nepieciešamību precizēt likumprojektu vai papildināt anotāciju ar skaidrojumu, ka preces neatbilstība piemērojamām piekļūstamības prasībām likumprojekta 9.</w:t>
            </w:r>
            <w:r w:rsidR="00000000" w:rsidRPr="00000000" w:rsidDel="00000000">
              <w:rPr>
                <w:vertAlign w:val="superscript"/>
                <w:rtl w:val="0"/>
              </w:rPr>
              <w:t xml:space="preserve">8</w:t>
            </w:r>
            <w:r w:rsidR="00000000" w:rsidRPr="00000000" w:rsidDel="00000000">
              <w:rPr>
                <w:rtl w:val="0"/>
              </w:rPr>
              <w:t xml:space="preserve"> panta izpratnē ir neatbilstība ‘būtiskajām prasībām’, lai nodrošinātu Piekļūstamības direktīvas 20.panta 5.punkta pilnvērtīgu transponēšanu.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aktuāls, jo sniegts par iepriekšējo redakciju. Par 01.06.2022. atkārtotai saskaņošanai sūtīto redakciju sniegts LM priekšlikums Nr.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01.06.2022. tika saņemta saskaņošanai jaunāka likumprojekta "Grozījumi likumā "Par atbilstības novērtēšanu"" redakcija, Finanšu ministrija sniegs atzinumu par 01.06.2022. saņemto likumprojekta un to pavadošo dokumentu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pieņemta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LAA priekšlikums ņemts vērā, bet redakcijā nav veikti labojumi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atktuāls, jo sniegts par ipriekšējo redakciju, savukārt par 01.06.2022. sūtīto likumprojektu atkārtotai saskaņošanai saņemts LAA saskaņojums bez iebildumiem vai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iepriekš nav pieteikts saīsinājums vai jēdziena “</w:t>
            </w:r>
            <w:r w:rsidR="00000000" w:rsidRPr="00000000" w:rsidDel="00000000">
              <w:rPr>
                <w:i w:val="1"/>
                <w:rtl w:val="0"/>
              </w:rPr>
              <w:t xml:space="preserve">Eiropas Savienības saskaņotie tiesību akti”</w:t>
            </w:r>
            <w:r w:rsidR="00000000" w:rsidRPr="00000000" w:rsidDel="00000000">
              <w:rPr>
                <w:rtl w:val="0"/>
              </w:rPr>
              <w:t xml:space="preserve"> skaidrojums, un likumprojektā izteiktās 9.</w:t>
            </w:r>
            <w:r w:rsidR="00000000" w:rsidRPr="00000000" w:rsidDel="00000000">
              <w:rPr>
                <w:vertAlign w:val="superscript"/>
                <w:rtl w:val="0"/>
              </w:rPr>
              <w:t xml:space="preserve">8</w:t>
            </w:r>
            <w:r w:rsidR="00000000" w:rsidRPr="00000000" w:rsidDel="00000000">
              <w:rPr>
                <w:rtl w:val="0"/>
              </w:rPr>
              <w:t xml:space="preserve"> panta otrās daļas kontekstā nav viennozīmīgi skaidrs, ko tas nozīmē (proti, vai tie ir tie paši likumprojektā izteiktā 4.panta otrajā daļā minētie “</w:t>
            </w:r>
            <w:r w:rsidR="00000000" w:rsidRPr="00000000" w:rsidDel="00000000">
              <w:rPr>
                <w:i w:val="1"/>
                <w:rtl w:val="0"/>
              </w:rPr>
              <w:t xml:space="preserve">Eiropas Savienības saskaņošanas tiesību akti</w:t>
            </w:r>
            <w:r w:rsidR="00000000" w:rsidRPr="00000000" w:rsidDel="00000000">
              <w:rPr>
                <w:rtl w:val="0"/>
              </w:rPr>
              <w:t xml:space="preserve">”). Ievērojot minēto, lūdzam precizēt 9.</w:t>
            </w:r>
            <w:r w:rsidR="00000000" w:rsidRPr="00000000" w:rsidDel="00000000">
              <w:rPr>
                <w:vertAlign w:val="superscript"/>
                <w:rtl w:val="0"/>
              </w:rPr>
              <w:t xml:space="preserve">8</w:t>
            </w:r>
            <w:r w:rsidR="00000000" w:rsidRPr="00000000" w:rsidDel="00000000">
              <w:rPr>
                <w:rtl w:val="0"/>
              </w:rPr>
              <w:t xml:space="preserve"> panta otrajā daļā lietoto terminoloģiju. Ja nepieciešams, ierosinām papildināt likumprojektā izteiktā 4.panta otro daļu ar attiecīgu saīsinājumu (piemēram, “Eiropas Savienības saskaņotie tiesību akti”), un tālāk likumprojektā lietot minēto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w:t>
            </w:r>
            <w:r w:rsidR="00000000" w:rsidRPr="00000000" w:rsidDel="00000000">
              <w:rPr>
                <w:vertAlign w:val="superscript"/>
                <w:rtl w:val="0"/>
              </w:rPr>
              <w:t xml:space="preserve">8</w:t>
            </w:r>
            <w:r w:rsidR="00000000" w:rsidRPr="00000000" w:rsidDel="00000000">
              <w:rPr>
                <w:rtl w:val="0"/>
              </w:rPr>
              <w:t xml:space="preserve"> panta otrajā daļā lietotā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panta pirmās daļas 5. punkts ir pretrunā ar regulas Nr.2019/1019 38. panta 4. punktu, kurš nosaka, ka tirgus uzraudzības iestādes veic visus attiecīgos pagaidu pasākumus, lai aizliegtu vai ierobežotu, izņemtu vai atsauktu no tirgus mēslošanas līdzekli tikai tādā gadījumā, ja attiecīgais ekonomikas dalībnieks noteiktā laikposmā neveic pietiekamus koriģējošus pasākumus. Regula Nr.2019/1019 neparedz apturēt preču ievietošanu tirgū, piedāvāšanu, pārdošanu uz laiku, kas nepieciešams lai novērtētu preču atbilstību noteiktajām prasībām. Vēršam uzmanību, ka tirgus uzraudzības iestādes veic tirdzniecībā esošu preču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9.8 panta sestās daļas pirmo teikumu, kurš šobrīd tiek attiecināts tikai uz mājdzīvniekiem.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19. panta trešo daļu, norādot uz kuru personu grupu tiks attiecināta administratīvā atbildība par atbilstības novērtēšanai pakļauto preču nenodrošināšanu ar atbilstības apliecinājumu vai apstiprinājumu. Šobrīd nav skaidrs, vai administratīvais sods par šādu pārkāpumu var tikt piemērots visiem saimnieciskās darbības veicējiem šī likuma izpratnē vai arī tikai konkrētām grupām, piemēram, ražotājam un tā pilnvarotajam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tirgus uzraudzības iestādei ir pamats uzskatīt, ka prece, kurai konstatēts, ka tā atbilst noteiktajām prasībām, bet rada risku cilvēku un dzīvnieku veselībai vai drošībai, vai īpašumam, tirgus uzraudzības iestāde, iegūstot visu nepieciešamo informāciju, nekavējoties informē Eiropas Komisiju un pārējās Eiropas Savienības dalībvalstis, norādot visas pieejamās ziņas,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19. panta trešo daļu papildināts skaidrojums anotācijas I sadaļas 2.6.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w:t>
            </w:r>
            <w:r w:rsidR="00000000" w:rsidRPr="00000000" w:rsidDel="00000000">
              <w:rPr>
                <w:vertAlign w:val="superscript"/>
                <w:rtl w:val="0"/>
              </w:rPr>
              <w:t xml:space="preserve">3</w:t>
            </w:r>
            <w:r w:rsidR="00000000" w:rsidRPr="00000000" w:rsidDel="00000000">
              <w:rPr>
                <w:rtl w:val="0"/>
              </w:rPr>
              <w:t xml:space="preserve"> panta pirmās daļas 5. punkta atbilstību regulai Nr.2019/1009 vēršam uzmanību, ka Likumprojektam atbilstošas darbības pieļauj veikt Regulas Nr.2019/1009 38. panta 1. punkts, kurš pieļauj tirgus uzraudzības iestādei veikt mēslošanas līdzekļa apdraudējumu un atbilstību prasībām izvērtējumu, tikmēr noteicot attiecīgajam saimnieciskās darbības veicējam pienākumu sadarboties ar tirgus uzraudzības iestādi. Mēslošanas līdzekļu gadījumā būtu īpaši būtiski nodrošināt iespēju ierobežot to pieejamību galalietotājiem, kamēr netiek pārbaudīts to iespējamais apdraudējums, jo šajā laikposmā var tikt jau nodarīts neatgriezenisks kaitējums videi, veselībai un dzīvībai.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9.</w:t>
            </w:r>
            <w:r w:rsidR="00000000" w:rsidRPr="00000000" w:rsidDel="00000000">
              <w:rPr>
                <w:vertAlign w:val="superscript"/>
                <w:rtl w:val="0"/>
              </w:rPr>
              <w:t xml:space="preserve">8</w:t>
            </w:r>
            <w:r w:rsidR="00000000" w:rsidRPr="00000000" w:rsidDel="00000000">
              <w:rPr>
                <w:rtl w:val="0"/>
              </w:rPr>
              <w:t xml:space="preserve"> panta sesto daļu nav aktuāls, jo sniegts par redakciju, kas nav pēdējā (01.06.2022), bet gan par iepriekšējo redakciju. Pēdējā precizētajā redakcijā iebildumā identificētā problēma vairs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pants par sadarbību ar muitu attiecas uz visām jomām, arī tabakas. (Skatīt izziņā iebildumu 13.p., 22.lpp.) Tieši tabaka ir tā joma, kuras uzraudzībā iesaistītas vairākas iestādes. Tādēļ vārdu “jomu” būtu pareizāk aizstāt ar vārdu “prasību” un lūgums sniegt atzinumu būtu jāadresē tai iestādei, kuras kompetencē ir uzraudzīt atbilstību prasībai, par kuru ir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Sadarbību ar muitas iestādi nodrošina par attiecīgo </w:t>
            </w:r>
            <w:r w:rsidR="00000000" w:rsidRPr="00000000" w:rsidDel="00000000">
              <w:rPr>
                <w:u w:val="single"/>
                <w:rtl w:val="0"/>
              </w:rPr>
              <w:t xml:space="preserve">jomu</w:t>
            </w:r>
            <w:r w:rsidR="00000000" w:rsidRPr="00000000" w:rsidDel="00000000">
              <w:rPr>
                <w:rtl w:val="0"/>
              </w:rPr>
              <w:t xml:space="preserve"> atbildīgā tirgus uzraudzības iestāde. Nepieciešamības gadījumā sadarbības jautājumus koordinē Tirgus uzraudzības padome, un lēmumu pieņem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Sadarbību ar muitas iestādi nodrošina par attiecīgo </w:t>
            </w:r>
            <w:r w:rsidR="00000000" w:rsidRPr="00000000" w:rsidDel="00000000">
              <w:rPr>
                <w:u w:val="single"/>
                <w:rtl w:val="0"/>
              </w:rPr>
              <w:t xml:space="preserve">prasību</w:t>
            </w:r>
            <w:r w:rsidR="00000000" w:rsidRPr="00000000" w:rsidDel="00000000">
              <w:rPr>
                <w:rtl w:val="0"/>
              </w:rPr>
              <w:t xml:space="preserve"> atbildīgā tirgus uzraudzības iestāde. Nepieciešamības gadījumā sadarbības jautājumus koordinē Tirgus uzraudzības padome, un lēmumu pieņem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tomēr nav konstatēts, ka tas būtu veiksmīgāks par esošo likumprojekta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"Grozījumi likumā "Par atbilstības novērtēšanu" 2. un 3. pantu, jo nav saprotams, kā tieši paredzēts papildināt likuma "Par atbilstības novērtēšanu" 2. un 3. pantu, proti, aiz kādiem vārdiem tiks ievietotas minētās vārdkopas.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un 3. pants, norādot, aiz kādiem vārdiem paredzēts ievietot papildināmās vārdkopas.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atbilstības novērtēšanu" 6. panta pirmajā daļā tiek pirmo reizi minētas institūcijas, kas veic atbilstības novērtēšanu reglamentētajā sfērā. Ievērojot minēto, lūdzam precizēt likumprojekta "Grozījumi likumā "Par atbilstības novērtēšanu" 5. pantu, turpmāk lietoto saīsinājumu "paziņotā institūcija" norādot pie attiecīgās vārdkopas, kur tā likumā tiek minēta pirmo reizi, atbilstoši precizējot arī turpmākos likuma "Par atbilstības novērtēšanu" pantus, izmantojot atrunāto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likumprojekta "Grozījumi likumā "Par atbilstības novērtēšanu" 5. pantā izteikto likuma "Par atbilstības novērtēšanu" 8. panta trešo daļu, kas cita starpā joprojām noteic, ka  Ministru kabinets nosaka atlīdzināmo zaudējumu minimālos veidus. Minētais tiesiskais regulējums ir neskaidrs, tāpēc lūdzam papildināt likumprojekta "Grozījumi likumā "Par atbilstības novērtēšanu" sākotnējās ietekmes novērtējuma ziņojumu (anotāciju) ar izvērstāku skaidrojumu, kas tiks regulēts attiecīgajos Ministru kabineta noteikumos un ko sevī ietver atlīdzināmo zaudējumu minimālie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saīsinājumu “paziņotā institūcija” priekšlikums nav ņemts vērā. Piekrītam, ka attiecīgā vārdkopa pirmo reizi ir atrodama likuma 6. pantā, tomēr vēršam uzmanību, ka jebkura “atbilstības novērtēšanas institūcija, kas veic atbilstības novērtēšanu reglamentētajā sfērā” nav uzskatāma par paziņoto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liftu noteikumos paziņotā institūcija definēta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“paziņotā institūcija – nacionālās akreditācijas institūcijas akreditēta liftu un lifta drošības sastāvdaļu atbilstības novērtēšanas institūcija, kura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citu Eiropas Savienības dalībvalstu vai Eiropas Ekonomikas zonas paziņota liftu un to drošības sastāvdaļu atbilstības novērtēšanas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Jaunākajos Eiropas Komisijas priekšlikumos Regulām savukārt parādās šāda definīcija: “paziņotā institūcija ir atbilstības novērtēšanas institūcija, par ko paziņots saskaņā ar šīs regulas __.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8. panta trešo daļu būtiski ir noteikt, ka uz deleģējuma pamata izdotās prasības par minimālo limitu apdrošināšanai attieksies tikai uz paziņotajām institūcijām, nevis uz visām atbilstības novērtēšanas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likumprojekta 5. pantā izteikto likuma "Par atbilstības novērtēšanu" 8. panta trešo daļu vēršam uzmanību, ka minētā norma ir precizēta, svītrojot vārdu "minimālos", attiecīgi saglabājot vārdkopu "atlīdzināmo zaudējumu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otrā daļa nosaka, ka likumprojekta III</w:t>
            </w:r>
            <w:r w:rsidR="00000000" w:rsidRPr="00000000" w:rsidDel="00000000">
              <w:rPr>
                <w:vertAlign w:val="superscript"/>
                <w:rtl w:val="0"/>
              </w:rPr>
              <w:t xml:space="preserve">1</w:t>
            </w:r>
            <w:r w:rsidR="00000000" w:rsidRPr="00000000" w:rsidDel="00000000">
              <w:rPr>
                <w:rtl w:val="0"/>
              </w:rPr>
              <w:t xml:space="preserve"> nodaļā ietvertās tirgus uzraudzības prasības ir piemērojamas ne vien attiecībā uz preču grupām, kuras definētas Eiropas Parlamenta un Padomes regulas (ES) Nr. 2019/1020 par tirgus uzraudzību un produktu atbilstību un ar ko groza Direktīvu 2004/42/EK un Regulas (EK) Nr. 765/2008 un (ES) Nr. 305/2011 (turpmāk – Regula Nr. 2019/1020), 1. pielikumā, bet arī uz citām preču grupām, kuras tiek reglamentētas ar nacionālajiem normatīvajiem aktiem. Šobrīd tirgus uzraudzības prasības attiecībā uz tām preču grupām, uz kurām neattiecas Regulas Nr. 2019/1020 1. pielikumā minētie tiesību akti, ir </w:t>
            </w:r>
            <w:r w:rsidR="00000000" w:rsidRPr="00000000" w:rsidDel="00000000">
              <w:rPr>
                <w:u w:val="single"/>
                <w:rtl w:val="0"/>
              </w:rPr>
              <w:t xml:space="preserve">noteiktas likumos </w:t>
            </w:r>
            <w:r w:rsidR="00000000" w:rsidRPr="00000000" w:rsidDel="00000000">
              <w:rPr>
                <w:b w:val="1"/>
                <w:u w:val="single"/>
                <w:rtl w:val="0"/>
              </w:rPr>
              <w:t xml:space="preserve">vai </w:t>
            </w:r>
            <w:r w:rsidR="00000000" w:rsidRPr="00000000" w:rsidDel="00000000">
              <w:rPr>
                <w:u w:val="single"/>
                <w:rtl w:val="0"/>
              </w:rPr>
              <w:t xml:space="preserve">Ministru kabineta</w:t>
            </w:r>
            <w:r w:rsidR="00000000" w:rsidRPr="00000000" w:rsidDel="00000000">
              <w:rPr>
                <w:rtl w:val="0"/>
              </w:rPr>
              <w:t xml:space="preserve"> (turpmāk – MK) </w:t>
            </w:r>
            <w:r w:rsidR="00000000" w:rsidRPr="00000000" w:rsidDel="00000000">
              <w:rPr>
                <w:u w:val="single"/>
                <w:rtl w:val="0"/>
              </w:rPr>
              <w:t xml:space="preserve">noteikumos</w:t>
            </w:r>
            <w:r w:rsidR="00000000" w:rsidRPr="00000000" w:rsidDel="00000000">
              <w:rPr>
                <w:rtl w:val="0"/>
              </w:rPr>
              <w:t xml:space="preserve"> (atkarībā no politikas plānotāju izvēlētas juridiskās pieejas). Piemēram, tirgus uzraudzības prasības benzīna un dīzeļdegvielas jomā ir noteiktas MK 2000. gada 26. septembra noteikumu Nr. 332 “Noteikumi par benzīna un dīzeļdegvielas atbilstības novērtēšanu” (turpmāk – Noteikumi Nr. 332) V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likumprojekta spēkā stāšanās var izveidot neskaitāmas situācijas, kad šobrīd MK noteikumos spēkā esošās tirgus uzraudzības prasību normas sadursies ar likumprojekta normām. Atbilstoši Oficiālo publikāciju un tiesiskās informācijas likuma 9. panta pirmajai daļai likumam ir augstāks juridiskais spēks attiecībā pret MK noteikumiem (</w:t>
            </w:r>
            <w:r w:rsidR="00000000" w:rsidRPr="00000000" w:rsidDel="00000000">
              <w:rPr>
                <w:i w:val="1"/>
                <w:rtl w:val="0"/>
              </w:rPr>
              <w:t xml:space="preserve">lex superior derogat legi inferiori</w:t>
            </w:r>
            <w:r w:rsidR="00000000" w:rsidRPr="00000000" w:rsidDel="00000000">
              <w:rPr>
                <w:rtl w:val="0"/>
              </w:rPr>
              <w:t xml:space="preserve">). Piemēram, Noteikumu Nr. 332 18. punktā esošā tiesību norma daļā par personām, kuras sedz testēšanas izdevumus, un izdevumu segšanas termiņu sadursies ar likumprojekta 9.</w:t>
            </w:r>
            <w:r w:rsidR="00000000" w:rsidRPr="00000000" w:rsidDel="00000000">
              <w:rPr>
                <w:vertAlign w:val="superscript"/>
                <w:rtl w:val="0"/>
              </w:rPr>
              <w:t xml:space="preserve">3</w:t>
            </w:r>
            <w:r w:rsidR="00000000" w:rsidRPr="00000000" w:rsidDel="00000000">
              <w:rPr>
                <w:rtl w:val="0"/>
              </w:rPr>
              <w:t xml:space="preserve"> panta ceturto un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kliedētu iespējamās domstarpības jautājumā par tiesību normu kolīziju starp likumprojektā un šobrīd spēkā esošajos MK noteikumos noteiktām tirgus uzraudzības prasību normām, VARAM aicina Ekonomikas ministriju šo jautājumu atkārtoti apspriest ar Tieslietu ministriju. Vienlaikus, ja tas nav pretrunā ar Tieslietu ministrijas nostāju, VARAM aicina 4. pantu papildināt ar šādu jaunu trešo daļu: “Šā likuma III</w:t>
            </w:r>
            <w:r w:rsidR="00000000" w:rsidRPr="00000000" w:rsidDel="00000000">
              <w:rPr>
                <w:vertAlign w:val="superscript"/>
                <w:rtl w:val="0"/>
              </w:rPr>
              <w:t xml:space="preserve">1</w:t>
            </w:r>
            <w:r w:rsidR="00000000" w:rsidRPr="00000000" w:rsidDel="00000000">
              <w:rPr>
                <w:rtl w:val="0"/>
              </w:rPr>
              <w:t xml:space="preserve"> nodaļas prasības piemērojamas tiktāl, ciktāl citos likumos </w:t>
            </w:r>
            <w:r w:rsidR="00000000" w:rsidRPr="00000000" w:rsidDel="00000000">
              <w:rPr>
                <w:b w:val="1"/>
                <w:rtl w:val="0"/>
              </w:rPr>
              <w:t xml:space="preserve">vai Ministru kabineta noteikumos</w:t>
            </w:r>
            <w:r w:rsidR="00000000" w:rsidRPr="00000000" w:rsidDel="00000000">
              <w:rPr>
                <w:rtl w:val="0"/>
              </w:rPr>
              <w:t xml:space="preserve"> nav noteiktas citādākas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Tieslietu ministrija iebilda VARAM piedāvātajai likumprojekta 4. panta trešajai daļai, kā alternatīvs risinājums likumprojektā ir ietverts jauns 12. pants par likuma "Par atbilstības novērtēšanu" Pārejas noteikumu papildināšanu ar jaunu 6. punktu, kurā paredzēts nepiemērot 9.3 panta ceturtajā, piektajā un sestajā daļā noteikto uz izdevumu atlīdzināšanu, kas ir saistīti ar degvielas kvalitātes atbilstības uzraudzību. Šobrīd gan personu loks, kas sedz testēšanas izdevumus, gan termiņš, kādā tie atlīdzināmi, degvielas kvalitātes pārbaužu gadījumā ir noteikti atšķirīgi MK 2000. gada 26. septembra noteikumu Nr. 332 “Noteikumi par benzīna un dīzeļdegvielas atbilstības novērtēšanu” 18. punktā. Šādas atšķirības ir paredzēts saglabāt arī turpmāk, ņemot vērā degvielas uzglabāšanas, realizācijas specifiku un darbībām ar degvielas maisījuma sagatavošanu, kas tiek veiktas jau pēc tās saņemšanas, piemēram, no ražotāja, importētāja. Atšķirīgās normas ir ietvertas arī likumprojektā "Transporta enerģijas likums" (21-TA-742), pēc kura stāšanās spēkā tiks grozīti minētie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06.01.22. sanāksmes precizētais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likumprojekta 4.pantā izteikto 4.panta otro daļu, izsakot to,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Šā likuma III.</w:t>
            </w:r>
            <w:r w:rsidR="00000000" w:rsidRPr="00000000" w:rsidDel="00000000">
              <w:rPr>
                <w:i w:val="1"/>
                <w:vertAlign w:val="superscript"/>
                <w:rtl w:val="0"/>
              </w:rPr>
              <w:t xml:space="preserve">1</w:t>
            </w:r>
            <w:r w:rsidR="00000000" w:rsidRPr="00000000" w:rsidDel="00000000">
              <w:rPr>
                <w:i w:val="1"/>
                <w:rtl w:val="0"/>
              </w:rPr>
              <w:t xml:space="preserve"> nodaļu piemēro nepārtikas precēm, kurām Latvijas normatīvajos aktos vai Eiropas Savienības tieši piemērojamajos tiesību aktos ir noteiktas prasības personu veselības un drošības, darba, patērētāju tiesību, vides un sabiedriskās kārtības aizsardzības vai citu sabiedrības interešu aizsardzības jomās, kas noteiktas Regulas (ES) Nr. 2019/1020 1. pielikumā minētajā Eiropas Savienības saskaņošanas tiesību aktu sarakstā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informāciju, ka minētie Latvijas nacionālie tiesību akti tai skaitā izriet no Eiropas Savienības tiesiskā regulējuma, t.i., tajos pārņemtas Regulas 2019/1020 I pielikumā minētās tieši nepiemērojamo ES tiesību aktu (direktīvu) prasības, lūdzam norādīt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izteiktā 4.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likumprojekta sākotnējās ietekmes novērtējuma ziņojumu (anotāciju) ar skaidrojumu likumprojekta 12. pantā izteiktajam pārejas noteikumam.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likumprojekta 12. pantā izteiktajam pārejas noteikumam.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VM) ir izvērtējusi saskaņošanai iesniegto likumprojektu “Grozījumi likumā „Par atbildības novērtējumu”” (22-TA-798)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VM ieskatā patlaban piedāvātā </w:t>
            </w:r>
            <w:r w:rsidR="00000000" w:rsidRPr="00000000" w:rsidDel="00000000">
              <w:rPr>
                <w:b w:val="1"/>
                <w:rtl w:val="0"/>
              </w:rPr>
              <w:t xml:space="preserve">9.</w:t>
            </w:r>
            <w:r w:rsidR="00000000" w:rsidRPr="00000000" w:rsidDel="00000000">
              <w:rPr>
                <w:b w:val="1"/>
                <w:vertAlign w:val="superscript"/>
                <w:rtl w:val="0"/>
              </w:rPr>
              <w:t xml:space="preserve">6</w:t>
            </w:r>
            <w:r w:rsidR="00000000" w:rsidRPr="00000000" w:rsidDel="00000000">
              <w:rPr>
                <w:b w:val="1"/>
                <w:rtl w:val="0"/>
              </w:rPr>
              <w:t xml:space="preserve"> panta otrās daļas redakcija,</w:t>
            </w:r>
            <w:r w:rsidR="00000000" w:rsidRPr="00000000" w:rsidDel="00000000">
              <w:rPr>
                <w:rtl w:val="0"/>
              </w:rPr>
              <w:t xml:space="preserve"> kontekstā ar šī panta pirmajā daļā noteikto, ierobežo tirgus uzraudzības iestādes pilnvaras nepieciešamo darbību veikšanā, lai novērstu prasībām neatbilstošu produktu radīta potenciālā riska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Regulas 1272/2008* 17.panta pirmā daļa un 31.pants nosaka, ka uz vielas vai maisījuma, kas klasificēts kā bīstams un ir iepakots, jābūt etiķetei ar labi saredzamu un salasāmu informāciju. Konstatējot šīs prasības pārkāpumu, precei piemēro tirdzniecības aizliegumu, tajā skaitā mazumtirdzniecības vietā. Analoģiskai iestādes rīcībai jābūt arī gadījumos, ja uz vielas vai maisījuma, kas klasificēts kā bīstams, marķējumā nav informācijas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patlaban  piedāvātais formulējums tirgus uzraudzības iestādei uzliek par pienākumu vispirms pieprasīt saimnieciskās darbības veicējam veikt korektīvās darbības, un tikai tajā gadījumā, ja saimnieciskās darbības veicējs tirgus uzraudzības iestādes noteiktajā laikā neveic atbilstošas korektīvās darbības labprātīgi, tirgus uzraudzības iestāde ir tiesīga aizliegt preces piedāvāšanu tirgū. Mazumtirdzniecībā identificējot preci ar minēto neatbilstību, process, kamēr uzraudzības iestāde identificēs atbildīgo uzņēmumu, kuram jānodrošina prasības izpilde un uzdos novērst neatbilstību, aizņems laiku, bet, lai neradītu risku patērētāja veselībai, tirdzniecība ir uzreiz jāaizliedz.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VM aicina precizēt </w:t>
            </w:r>
            <w:r w:rsidR="00000000" w:rsidRPr="00000000" w:rsidDel="00000000">
              <w:rPr>
                <w:b w:val="1"/>
                <w:rtl w:val="0"/>
              </w:rPr>
              <w:t xml:space="preserve">9.</w:t>
            </w:r>
            <w:r w:rsidR="00000000" w:rsidRPr="00000000" w:rsidDel="00000000">
              <w:rPr>
                <w:b w:val="1"/>
                <w:vertAlign w:val="superscript"/>
                <w:rtl w:val="0"/>
              </w:rPr>
              <w:t xml:space="preserve">9</w:t>
            </w:r>
            <w:r w:rsidR="00000000" w:rsidRPr="00000000" w:rsidDel="00000000">
              <w:rPr>
                <w:b w:val="1"/>
                <w:rtl w:val="0"/>
              </w:rPr>
              <w:t xml:space="preserve"> panta pirmās daļas </w:t>
            </w:r>
            <w:r w:rsidR="00000000" w:rsidRPr="00000000" w:rsidDel="00000000">
              <w:rPr>
                <w:rtl w:val="0"/>
              </w:rPr>
              <w:t xml:space="preserve">formulējumu, nodrošinot lielāku sasaisti ar  Regulā 2019/1020** paredzēto, tādējādi kliedējot iespējamo kļūdaino iespaidu par to, ka muitas iestāde vienmēr lēmumu par laišanu brīvā apgrozībā pieņem vienīgi sadarbībā ar tirgus uzraudzības iestādi, kas ir pretrunā gan normatīvo aktu prasībām, gan faktiskajām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Lai novērstu neskaidrības gadījumos, kad tādām precēm, kā, piemēram, tabakas izstrādājumi, elektroniskās cigaretes un citi izstrādājumi, kurām prasības ir noteiktas „Tabakas izstrādājumu, augu smēķēšanas produktu, elektronisko smēķēšanas ierīču un to šķidrumu aprites likumā” un uzraudzība ir deleģēta vairākām iestādēm atbilstoši to pamata darbībai, aicinām precizēt </w:t>
            </w:r>
            <w:r w:rsidR="00000000" w:rsidRPr="00000000" w:rsidDel="00000000">
              <w:rPr>
                <w:b w:val="1"/>
                <w:rtl w:val="0"/>
              </w:rPr>
              <w:t xml:space="preserve">9.</w:t>
            </w:r>
            <w:r w:rsidR="00000000" w:rsidRPr="00000000" w:rsidDel="00000000">
              <w:rPr>
                <w:b w:val="1"/>
                <w:vertAlign w:val="superscript"/>
                <w:rtl w:val="0"/>
              </w:rPr>
              <w:t xml:space="preserve">9</w:t>
            </w:r>
            <w:r w:rsidR="00000000" w:rsidRPr="00000000" w:rsidDel="00000000">
              <w:rPr>
                <w:b w:val="1"/>
                <w:rtl w:val="0"/>
              </w:rPr>
              <w:t xml:space="preserve"> panta otrajā daļā</w:t>
            </w:r>
            <w:r w:rsidR="00000000" w:rsidRPr="00000000" w:rsidDel="00000000">
              <w:rPr>
                <w:rtl w:val="0"/>
              </w:rPr>
              <w:t xml:space="preserve">  ietverto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Papildus paustajam, aicinām  izvērtēt, vai likumprojektā ieviestā termina ”preces piedāvāšana tirgū” definīcija, kas regulā 2019/1020 attiecas uz “darīt pieejamu tirgū”, neietekmēs  atsevišķu šī likuma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w:t>
            </w:r>
            <w:r w:rsidR="00000000" w:rsidRPr="00000000" w:rsidDel="00000000">
              <w:rPr>
                <w:b w:val="1"/>
                <w:rtl w:val="0"/>
              </w:rPr>
              <w:t xml:space="preserve">9.</w:t>
            </w:r>
            <w:r w:rsidR="00000000" w:rsidRPr="00000000" w:rsidDel="00000000">
              <w:rPr>
                <w:b w:val="1"/>
                <w:vertAlign w:val="superscript"/>
                <w:rtl w:val="0"/>
              </w:rPr>
              <w:t xml:space="preserve">3 </w:t>
            </w:r>
            <w:r w:rsidR="00000000" w:rsidRPr="00000000" w:rsidDel="00000000">
              <w:rPr>
                <w:b w:val="1"/>
                <w:rtl w:val="0"/>
              </w:rPr>
              <w:t xml:space="preserve">panta pirmās daļas 5.punkts </w:t>
            </w:r>
            <w:r w:rsidR="00000000" w:rsidRPr="00000000" w:rsidDel="00000000">
              <w:rPr>
                <w:rtl w:val="0"/>
              </w:rPr>
              <w:t xml:space="preserve">paredz apturēt preču piedāvāšanu uz laiku, kas nepieciešams, lai novērtētu preču atbilstību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piedāvāšanu attiecinot definīciju “darīt pieejamu tirgū”, par piedāvāšanu tiks uzskatīta tikai preču piegāde izplatīšanai, patēriņam vai izmantošanai, nevis piedāvāšana vārda vispārpieņemtajā nozīmē, kas varētu ietekmēt iestāžu iespējas ierobežot neatbilstošu preču piedāvāšanu gadījumos, ja to piegāde nav pierādīta.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Eiropas Parlamenta un Padomes Regula (EK) Nr. 1272/2008 ( 2008. gada 16. decembris) par vielu un maisījumu klasificēšanu, marķēšanu un iepakošanu un ar ko groza un atceļ Direktīvas 67/548/EEK un 1999/45/EK un groza Regulu (EK) Nr. 1907/2006 (Dokuments attiecas uz EEZ). Pieejams: https://eur-lex.europa.eu/eli/reg/2008/1272/oj/?locale=LV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Eiropas Parlamenta un Padomes Regula (ES) 2019/1020 (2019. gada 20. jūnijs) par tirgus uzraudzību un produktu atbilstību un ar ko groza Direktīvu 2004/42/EK un Regulas (EK) Nr. 765/2008 un (ES) Nr. 305/2011 (Dokuments attiecas uz EEZ.). Pieejams: https://eur-lex.europa.eu/eli/reg/2019/1020/oj/?locale=LV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1.VM piedāvātā 9.</w:t>
            </w:r>
            <w:r w:rsidR="00000000" w:rsidRPr="00000000" w:rsidDel="00000000">
              <w:rPr>
                <w:b w:val="1"/>
                <w:vertAlign w:val="superscript"/>
                <w:rtl w:val="0"/>
              </w:rPr>
              <w:t xml:space="preserve">6</w:t>
            </w:r>
            <w:r w:rsidR="00000000" w:rsidRPr="00000000" w:rsidDel="00000000">
              <w:rPr>
                <w:b w:val="1"/>
                <w:rtl w:val="0"/>
              </w:rPr>
              <w:t xml:space="preserve"> panta otrās daļas redakcija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uzraudzības iestāde konstatē, ka prece neatbilst noteiktajām prasībām, tā ir tiesīga saimnieciskās darbības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aizliegt preces piedāvāšanu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veikt preces izņemšanu no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veikt preces atsaukšanu no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veikt preces iznīcināšanu pienācīgā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2.VM piedāvātā 9.</w:t>
            </w:r>
            <w:r w:rsidR="00000000" w:rsidRPr="00000000" w:rsidDel="00000000">
              <w:rPr>
                <w:b w:val="1"/>
                <w:vertAlign w:val="superscript"/>
                <w:rtl w:val="0"/>
              </w:rPr>
              <w:t xml:space="preserve">9</w:t>
            </w:r>
            <w:r w:rsidR="00000000" w:rsidRPr="00000000" w:rsidDel="00000000">
              <w:rPr>
                <w:b w:val="1"/>
                <w:rtl w:val="0"/>
              </w:rPr>
              <w:t xml:space="preserve"> panta pirmās daļas redakcija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Tādu preču kontroli, kurām piemēro muitas procedūru “laišana brīvā apgrozībā”, veic muitas iestāde un sadarbojas ar konkrētās jomas tirgus uzraudzības iestādi, pamatojoties uz Regulas (ES) 2019/1020 VII nodaļā un 11. panta 3. daļā noteikto, tai skaitā pēc tirgus uzraudzības iestādes pamatota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3.VM piedāvātā 9.</w:t>
            </w:r>
            <w:r w:rsidR="00000000" w:rsidRPr="00000000" w:rsidDel="00000000">
              <w:rPr>
                <w:b w:val="1"/>
                <w:vertAlign w:val="superscript"/>
                <w:rtl w:val="0"/>
              </w:rPr>
              <w:t xml:space="preserve">9</w:t>
            </w:r>
            <w:r w:rsidR="00000000" w:rsidRPr="00000000" w:rsidDel="00000000">
              <w:rPr>
                <w:b w:val="1"/>
                <w:rtl w:val="0"/>
              </w:rPr>
              <w:t xml:space="preserve"> panta otrās daļas pirmā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Sadarbību ar muitas iestādi nodrošina attiecīgās jomas regulējošajos normatīvajos aktos par precēm noteikto prasību kontroli atbildīgā tirgus uzraudzības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w:t>
            </w:r>
            <w:r w:rsidR="00000000" w:rsidRPr="00000000" w:rsidDel="00000000">
              <w:rPr>
                <w:vertAlign w:val="superscript"/>
                <w:rtl w:val="0"/>
              </w:rPr>
              <w:t xml:space="preserve">6</w:t>
            </w:r>
            <w:r w:rsidR="00000000" w:rsidRPr="00000000" w:rsidDel="00000000">
              <w:rPr>
                <w:rtl w:val="0"/>
              </w:rPr>
              <w:t xml:space="preserve"> panta otrās daļas, 9.</w:t>
            </w:r>
            <w:r w:rsidR="00000000" w:rsidRPr="00000000" w:rsidDel="00000000">
              <w:rPr>
                <w:vertAlign w:val="superscript"/>
                <w:rtl w:val="0"/>
              </w:rPr>
              <w:t xml:space="preserve">9</w:t>
            </w:r>
            <w:r w:rsidR="00000000" w:rsidRPr="00000000" w:rsidDel="00000000">
              <w:rPr>
                <w:rtl w:val="0"/>
              </w:rPr>
              <w:t xml:space="preserve"> panta pirmās daļas un 9.</w:t>
            </w:r>
            <w:r w:rsidR="00000000" w:rsidRPr="00000000" w:rsidDel="00000000">
              <w:rPr>
                <w:vertAlign w:val="superscript"/>
                <w:rtl w:val="0"/>
              </w:rPr>
              <w:t xml:space="preserve">9</w:t>
            </w:r>
            <w:r w:rsidR="00000000" w:rsidRPr="00000000" w:rsidDel="00000000">
              <w:rPr>
                <w:rtl w:val="0"/>
              </w:rPr>
              <w:t xml:space="preserve"> panta otrās daļas pirmā teikuma redakcija. Attiecībā uz terminu “preces piedāvāšana tirgū” ietverts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9.8 pantu, ar kuru tiek pārņemts Eiropas Parlamenta un Padomes 2019.gada 17.aprīļa Direktīvas (ES) 2019/882 par produktu un pakalpojumu piekļūstamības prasībām (turpmāk - Piekļūstamības direktīva) 20.panta 5.punkts. Vēršam uzmanību, ka Piekļūstamības direktīvas 20.panta 5.punkts nosaka, ka tirgus uzraudzības iestādes jo īpaši norāda, vai neatbilstība ir saistīta vai nu ar: a) produkta neatbilstību piemērojamām piekļūstamības prasībām; vai b) trūkumiem 15. pantā minētajos saskaņotajos standartos vai tehniskajās specifikācijās, kuri ir par pamatu atbilstības prezumpcijai. Vēršam uzmanību, ka likumprojekta 9.8 panta pašreizējā redakcijā nav norādīts, ka informācija Eiropas Komisijai un pārējām Eiropas Savienības dalībvalstīm jāsniedz arī tad, ja konstatēti trūkumi tehniskajās specifikācijās, kas ir par pamatu Piekļūstamības direktīvas 15.pantā minētajai atbilstības prezumpcijai (t.i. Eiropas Komisija var izdot īstenošanas aktus, ar kuriem nosaka tehniskās specifikācijas, ja standartizācijas procedūrā ir nepamatoti kavējumi vai neviena Eiropas standartizācijas organizācija nav akceptējusi standartizācijas pieprasījumu).  Tāpat lūdzam izvērtēt nepieciešamību precizēt likumprojektu vai papildināt anotāciju ar skaidrojumu, ka preces neatbilstība piemērojamām piekļūstamības prasībām likumprojekta 9.8 panta izpratnē ir neatbilstība ‘būtiskajām prasībām’, lai nodrošinātu Piekļūstamības direktīvas 20.panta 5.punkta pilnvērtīgu transponēšanu.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w:t>
            </w:r>
            <w:r w:rsidR="00000000" w:rsidRPr="00000000" w:rsidDel="00000000">
              <w:rPr>
                <w:vertAlign w:val="superscript"/>
                <w:rtl w:val="0"/>
              </w:rPr>
              <w:t xml:space="preserve">8</w:t>
            </w:r>
            <w:r w:rsidR="00000000" w:rsidRPr="00000000" w:rsidDel="00000000">
              <w:rPr>
                <w:rtl w:val="0"/>
              </w:rPr>
              <w:t xml:space="preserve">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izteiktā 9.</w:t>
            </w:r>
            <w:r w:rsidR="00000000" w:rsidRPr="00000000" w:rsidDel="00000000">
              <w:rPr>
                <w:vertAlign w:val="superscript"/>
                <w:rtl w:val="0"/>
              </w:rPr>
              <w:t xml:space="preserve">8 </w:t>
            </w:r>
            <w:r w:rsidR="00000000" w:rsidRPr="00000000" w:rsidDel="00000000">
              <w:rPr>
                <w:rtl w:val="0"/>
              </w:rPr>
              <w:t xml:space="preserve">panta otro daļu, nodrošinot tā apakšvienību numerāciju (t.i., numurēt vienības ar cipariem, nevis aizzīmēm).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w:t>
            </w:r>
            <w:r w:rsidR="00000000" w:rsidRPr="00000000" w:rsidDel="00000000">
              <w:rPr>
                <w:vertAlign w:val="superscript"/>
                <w:rtl w:val="0"/>
              </w:rPr>
              <w:t xml:space="preserve">8</w:t>
            </w:r>
            <w:r w:rsidR="00000000" w:rsidRPr="00000000" w:rsidDel="00000000">
              <w:rPr>
                <w:rtl w:val="0"/>
              </w:rPr>
              <w:t xml:space="preserve"> panta otrā un sestā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w:t>
            </w:r>
            <w:r w:rsidR="00000000" w:rsidRPr="00000000" w:rsidDel="00000000">
              <w:rPr>
                <w:vertAlign w:val="superscript"/>
                <w:rtl w:val="0"/>
              </w:rPr>
              <w:t xml:space="preserve">8</w:t>
            </w:r>
            <w:r w:rsidR="00000000" w:rsidRPr="00000000" w:rsidDel="00000000">
              <w:rPr>
                <w:rtl w:val="0"/>
              </w:rPr>
              <w:t xml:space="preserve"> panta otrās daļas 5.punktā veikt precizējumu, lai uzlabotu prasības saprotamību.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panta otrās daļas 5.punktā vārdus “vai trūkumi piemērojamajos standartos vai tehniskajās specifikācijās” aizstāt ar vārdiem “vai trūkumi piemērojamo standartu vai tehnisko specifikāciju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precīzi aprakstīts viens no gadījumiem, kad ir jāziņo Eiropas Komisijai un citām ES dalībvalstīm par preces neatbilstību, proti, kad tiek konstatēta gan preces neatbilstība prasībām, gan arī konstatēti trūkumi pašos standartos vai tehniskajās specifikācijās, kuri bijuši par pamatu preces atbilstības prezumpcijai. Proti, prece atbilst standartam vai tehniskajai specifikācijai un tādēļ ticis prezumēts, ka prece atbilst noteiktajām prasībām, bet tomēr tikusi konstatēta preces neatbilstība konkrētām prasībām un attiecīgi arī tiek konstatēts, ka attiecīgie standarti vai tehniskās specifikācijas šīs konkrētās prasības neaptver.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Veselības ministrijas iepriekš sniegto priekšlikumu (Izziņas 19.punkts 4.priekšlikums) par terminu “preces piedāvāšana tirgū”, par kuru ietverts skaidrojums anotācijā, lūdzam precizēt anotācijā pievienoto skaidrojumu tā labākai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I.sadaļas 2.punktā, aizvietot vārdus “[..] piegādāšana minētās definīcijas izpratnē tulkojama paplašināti, un līdz ar to prece nav uzskatāma par piedāvātu tirgū vien tad, ja ir pierādīta to piegāde.”, ar “[..] piegādāšana minētās definīcijas izpratnē tulkojama paplašināti, un līdz ar to, lai preci uzskatītu par piedāvātu tirgū, nav nepieciešams pierādīt tās piegādi.”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I. sadaļas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papildināt ar informatīvu atsauci uz Eiropas Savienības direktīvu, ņemot vērā, ka ar likumprojektu daļēji tiek pārņemtas prasības, kas noteiktas Eiropas Parlamenta un Padomes 2019. gada 17. aprīļa direktīvā (ES) 2019/882 par produktu un pakalpojumu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iekļautas tiesību normas, kas izriet no Eiropas Parlamenta un Padomes 2019. gada 17. aprīļa direktīvas (ES) 2019/882 par produktu un pakalpojumu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iekļautas tiesību normas, kas izriet no Eiropas Parlamenta un Padomes 2019. gada 17. aprīļa direktīvas (ES) 2019/882 par produktu un pakalpojumu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attiecīgu informatīvo atsauci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likumprojekta tālāko virzību, vienlaikus norādot, ka sakaru nozarei ir atsevišķi jautājumi, kas tiks risināti darba kārtībā. Vienlaikus izsakām bažu, ka Likumprojektā nav pietiekami skaidri regulēta tirgus uzraudzība un jāmeklē risinājumi, lai celtu uzraudzības kapacitāti, kā dēļ LDDK un Mēbeļu ražotāju asociācija rosinās diskusiju ar Ekonomikas ministriju un Tirgus uzraudzības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ņemta vērā LDDK un Mēbeļu ražotāju asociācijas iniciatīva organizēt diskusiju ar Ekonomikas ministriju un Tirgus uzraudzības padomi. Vienlaikus ņemams vērā, ka ar likumprojektu netiek pilnībā pārrakstīts viss tirgus uzraudzības regulējums, lai nedublētu regulā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"III. Tiesību akta projekta ietekme uz valsts budžetu un pašvaldību budžetiem" 8.punktā minēto, svītrojot vārdu "bankas", jo Patērētāju tiesību aizsardzības centrs (kā arī citas tirgus uzraudzības iestādes) ir valsts budžeta iestādes, kuru konti atrodas Valsts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22-TA-798</w:t>
    </w:r>
    <w:r>
      <w:br/>
    </w:r>
    <w:r w:rsidR="00000000" w:rsidRPr="00000000" w:rsidDel="00000000">
      <w:rPr>
        <w:rtl w:val="0"/>
      </w:rPr>
      <w:t xml:space="preserve">11.08.2022. 14.27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22-TA-798</w:t>
    </w:r>
    <w:r>
      <w:br/>
    </w:r>
    <w:r w:rsidR="00000000" w:rsidRPr="00000000" w:rsidDel="00000000">
      <w:rPr>
        <w:rtl w:val="0"/>
      </w:rPr>
      <w:t xml:space="preserve">11.08.2022. 14.27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Izziņa_22-TA-798.docx</dc:title>
</cp:coreProperties>
</file>

<file path=docProps/custom.xml><?xml version="1.0" encoding="utf-8"?>
<Properties xmlns="http://schemas.openxmlformats.org/officeDocument/2006/custom-properties" xmlns:vt="http://schemas.openxmlformats.org/officeDocument/2006/docPropsVTypes"/>
</file>