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24-TA-784: Noteikumu 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Eiropas Savienības kohēzijas politikas programmas 2021.—2027. gadam 4.3.5. specifiskā atbalsta mērķa "Uzlabot vienlīdzīgu un savlaicīgu piekļuvi kvalitatīviem, ilgtspējīgiem un izmaksu ziņā pieejamiem pakalpojumiem; pilnveidot sociālās aizsardzības sistēmas, tostarp veicināt sociālās aizsardzības pieejamību; uzlabot ilgtermiņa aprūpes pakalpojumu pieejamību, efektivitāti un izturētspēju" 4.3.5.1. pasākuma "Sabiedrībā balstītu sociālo pakalpojumu pieejamības palielināšana" otrās kārtas īstenošanas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Pasākuma otrajai kārtai plānotais un pieejamais kopējais attiecināmais finansējums ir 15 800 186 </w:t>
            </w:r>
            <w:r w:rsidR="00000000" w:rsidRPr="00000000" w:rsidDel="00000000">
              <w:rPr>
                <w:i w:val="1"/>
                <w:rtl w:val="0"/>
              </w:rPr>
              <w:t xml:space="preserve">euro</w:t>
            </w:r>
            <w:r w:rsidR="00000000" w:rsidRPr="00000000" w:rsidDel="00000000">
              <w:rPr>
                <w:rtl w:val="0"/>
              </w:rPr>
              <w:t xml:space="preserve">, tai skaitā Eiropas Sociālā fonda Plus finansējums – 13 430 158 </w:t>
            </w:r>
            <w:r w:rsidR="00000000" w:rsidRPr="00000000" w:rsidDel="00000000">
              <w:rPr>
                <w:i w:val="1"/>
                <w:rtl w:val="0"/>
              </w:rPr>
              <w:t xml:space="preserve">euro</w:t>
            </w:r>
            <w:r w:rsidR="00000000" w:rsidRPr="00000000" w:rsidDel="00000000">
              <w:rPr>
                <w:rtl w:val="0"/>
              </w:rPr>
              <w:t xml:space="preserve"> un valsts budžeta finansējums – 2 370 028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- 29.05.2024.)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ka 4.3.5.1. pasākuma 2.kārtas ietvaros finansējums plānots tādiem sociālo pakalpojumu sniedzējiem, kuriem pakalpojumu sniegšanai nepieciešamā infrastruktūra jau ir pieejama, un nepieciešami resursi pakalpojuma sniegšanas izmaksu nodrošināšanai. Noteikumu projekts paredz valsts budžeta finansējumu kā 4.3.5.1. pasākuma 2.kārtas nacionālā līdzfinansējuma finansējuma avotu. Ņemot vērā, ka resursi nepieciešami pakalpojuma sniegšanas izmaksu nodrošināšanai, nepieciešamais līdzfinansējums nodrošināms no pašvaldību budžetiem. Lūdzam attiecīgi precizēt noteikumu projektu un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skaidro, ka precizēts MK noteikumu projekta 8. punkts un paredzēts jauns nosacījums, ka gadījumā, ja projekta iesniedzējs ir pašvaldība vai tās izveidots sociālo pakalpojumu sniedzējs, projekta iesniegumā kā līdzfinansējumu plāno pašvaldību budžeta finansējumu, bet gadījumā, ja projekta iesniedzējs ir cits sociālo pakalpojumu sniedzējs, projekta iesniegumā kā līdzfinansējuma avotu plāno valsts budžeta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ieskatā ir būtiski saglabāt iespēju citiem sociālo pakalpojumu sniedzējiem  projekta līdzfinansējuma finansēšanu no valsts budžeta līdzekļiem, jo daļa finansējuma saņēmēju būs biedrības un nodibinājumi, kuriem ir ļoti ierobežoti finansiālie resursi ES fondu projektu līdzfinansējuma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Pasākuma otrajai kārtai plānotais un pieejamais kopējais attiecināmais finansējums ir 15 800 186 </w:t>
            </w:r>
            <w:r w:rsidR="00000000" w:rsidRPr="00000000" w:rsidDel="00000000">
              <w:rPr>
                <w:i w:val="1"/>
                <w:rtl w:val="0"/>
              </w:rPr>
              <w:t xml:space="preserve">euro</w:t>
            </w:r>
            <w:r w:rsidR="00000000" w:rsidRPr="00000000" w:rsidDel="00000000">
              <w:rPr>
                <w:rtl w:val="0"/>
              </w:rPr>
              <w:t xml:space="preserve">, tai skaitā Eiropas Sociālā fonda Plus finansējums – 13 430 158 </w:t>
            </w:r>
            <w:r w:rsidR="00000000" w:rsidRPr="00000000" w:rsidDel="00000000">
              <w:rPr>
                <w:i w:val="1"/>
                <w:rtl w:val="0"/>
              </w:rPr>
              <w:t xml:space="preserve">euro</w:t>
            </w:r>
            <w:r w:rsidR="00000000" w:rsidRPr="00000000" w:rsidDel="00000000">
              <w:rPr>
                <w:rtl w:val="0"/>
              </w:rPr>
              <w:t xml:space="preserve"> un nacionālais līdzfinansējums– 2 370 028 </w:t>
            </w:r>
            <w:r w:rsidR="00000000" w:rsidRPr="00000000" w:rsidDel="00000000">
              <w:rPr>
                <w:i w:val="1"/>
                <w:rtl w:val="0"/>
              </w:rPr>
              <w:t xml:space="preserve">euro</w:t>
            </w:r>
            <w:r w:rsidR="00000000" w:rsidRPr="00000000" w:rsidDel="00000000">
              <w:rPr>
                <w:rtl w:val="0"/>
              </w:rPr>
              <w:t xml:space="preserve">, ko veido valsts un pašvaldību budžeta finansējums. Pašvaldību budžetu kā līdzfinansējuma avotu projektā plāno šo noteikumu 16.1. apakšpunktā minētie projektu iesniedzēji, savukārt valsts budžetu – šo noteikumu 16.2. apakšpunktā minētie projektu iesniedzēji.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- 28.05.2024.)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Noteikumu projekta anotācija:</w:t>
            </w:r>
            <w:r w:rsidR="00000000" w:rsidRPr="00000000" w:rsidDel="00000000">
              <w:rPr>
                <w:i w:val="1"/>
                <w:rtl w:val="0"/>
              </w:rPr>
              <w:t xml:space="preserve">“4.3.5.1. pasākuma 2.kārtas atbalsts ir papildinošs 4.3.5.1. pasākuma 1.kārtas atbalstam, kura ietvaros tiek veidoti jauni pakalpojumi un pasākuma mērķa grupas personas varēs uzsākt pakalpojumu saņemšanu tikai pēc pakalpojumu sniegšanai nepieciešamās infrastruktūras izveides. 4.3.5.1. pasākuma 2.kārtas ietvaros finansējums plānots tādiem sociālo pakalpojumu sniedzējiem, kuriem pakalpojumu sniegšanai nepieciešamā infrastruktūra jau ir pieejama, un nepieciešami resursi pakalpojuma sniegšanas izmaksu nodrošināšanai. Tas ļaus paātrināt minimālajā sociālo pakalpojumu grozā plānoto SBSP pieejamību mērķa grupas personām, tai skaitā paplašinot nevalstisko organizāciju iespējas atbalsta sniegšanā sociālās atstumtības riskam pakļautajiem iedzīvotājiem.”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interpretācijas iespējas, lūdzam precizēt Noteikumu projektu un / vai anotāciju, norādot detalizētāku skaidrojumu par to, vai 4.3.5.1. pasākuma 2. kārtas atbalstu var izmantot sabiedrībā balstītu sociālo pakalpojumu  sniegšanai arī infrastruktūrā, kas ir izveidota, izmantojot citu Eiropas Savienības fondu pasākumu finansējumu.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papildināts ar jaunu punktu (12. punkts) par infrastruktūras, kurā projekta ietvaros plānots sniegt pakalpojumus, nosacījumiem, kā arī anotācijā aprakstīti infrastruktūras piemēri.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- 28.05.2024.)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MKN projekta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“4.3.5.1. pasākuma 2.kārtas atbalsts ir papildinošs 4.3.5.1. pasākuma 1.kārtas atbalstam, kura ietvaros tiek veidoti jauni pakalpojumi un pasākuma mērķa grupas personas varēs uzsākt pakalpojumu saņemšanu tikai pēc pakalpojumu sniegšanai nepieciešamās infrastruktūras izveides. 4.3.5.1. pasākuma 2.kārtas ietvaros finansējums plānots tādiem sociālo pakalpojumu sniedzējiem, kuriem pakalpojumu sniegšanai nepieciešamā infrastruktūra jau ir pieejama, un nepieciešami resursi pakalpojuma sniegšanas izmaksu nodrošināšanai. Tas ļaus paātrināt minimālajā sociālo pakalpojumu grozā plānoto SBSP pieejamību mērķa grupas personām, tai skaitā paplašinot nevalstisko organizāciju iespējas atbalsta sniegšanā sociālās atstumtības riskam pakļautajiem iedzīvotājiem.”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interpretācijas iespējas, lūdzam precizēt MKN projektu un / vai anotāciju, norādot detalizētāku skaidrojumu par to, vai 4.3.5.1. pasākuma 2. kārtas atbalstu var izmantot sabiedrībā balstītu sociālo pakalpojumu  sniegšanai arī infrastruktūrā, kas ir izveidota, izmantojot citu Eiropas Savienības fondu pasākumu finansējumu.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skaidrojumu izziņas 2. punktā.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- 29.05.2024.)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ietvaros projektu iesniedzēji var būt pašvaldība vai tās izveidots sociālo pakalpojumu sniedzējs vai citi sociālo pakalpojumu sniedzēji, tādējādi paredzot iespēju atklātā projektu iesniegumu atlasē piedalīties arī privātajiem sociālo pakalpojumu sniedzējiem (komercsabiedrībām, biedrībām un nodibinājumiem), kas vienlaikus ir kvalificējami kā saimnieciskās darbības veicēji.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skaidrots, ka Labklājības ministrija secinājusi, ka pakalpojumi nav saimnieciska rakstura darbības, vienlaikus secinot, ka neizpildās Komercdarbības atbalsta kontroles likuma (turpmāk – KAKL) 5. panta 4. punkta pazīme.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lai konstatētu, vai pasākumā ir jāpiemēro komercdarbības atbalsta regulējums, vispirms tiek noteikts, vai atbalsts tiek sniegts ekonomiska rakstura darbībām - konkrētu subjektu saimnieciskai darbībai. Tikai pēc tam ir jāanalizē KAKL 5.pantā minētās četras komercdarbības atbalsta pazīmes, t.sk. ietekme uz konkurenci un tirdzniecību Eiropas Savienībā (turpmāk – ES). Attiecīgi lūdzam: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precizēt informāciju anotācijā, iekļaujot uz faktiem balstītu KAKL 5.pantā ietvertās ceturtās komercdarbības atbalsta pazīmes (atbalsta ietekme uz konkurenci un ES tirgu) izvērtējumu (šajā gadījumā ietverot noteikumu projektā kritērijus, kā tiks vērtēts katrs konkrētais projekts), izvērtējot katru mērķa grupu atsevišķi, proti, viena grupa ir personas ar GTR, otra - personas pensijas vecumā. Attiecībā uz aprūpes pakalpojumu mājās (grupu māja (dzīvoklis)) personām pensijas vecumā lūdzam skatīt Finanšu ministrijas (turpmāk – FM) šā gada 12.aprīļa vēstulē Nr.7-4/18 /1115 skaidroto;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 anotācijas svītrot rindkopu: "Savukārt Komisijas 19.07.2016. jūlija paziņojuma par Līguma par Eiropas Savienības darbību 107. panta 1. punktā minēto valsts atbalsta jēdzienu (turpmāk – Komisijas paziņojums) 29. un 34. punktā noteikts, ka skolēnu vai viņu vecāku mācību vai uzņemšanas maksa, kā arī apmeklētāju samaksa par kultūras iestādes apmeklējumu nenozīmē to, ka minētai aktivitātei ir saimniecisks raksturs, jo šādu samaksu nevar uzskatīt par reālu atlīdzību par sniegto pakalpojumu.", jo tā uz šo pasākumu nav attiecināma;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 anotācijas svītrot 1. un 2. kritēriju limitētās ietekmes uz pārrobežu sadarbību pamatojumam, jo starptautisku organizāciju filiāļu izveide ir aktuāla (piemēram, Latvijas Samariešu apvienība un Latvijas Sarkanais Krusts), un valodas kritērijs ir attiecināms tikai uz kultūras pasākumiem.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tiek secināts, ka atbalsts ir kvalificējams kā komercdarbības atbalsts, lūdzam papildināt noteikumu projektu ar komercdarbības atbalsta normām.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tiktu secināts, ka atbalsts ir kvalificējams kā komercdarbības atbalsts, īstenošanā iespējams piemērot Komisijas lēmumu (2011. gada 20. decembris) par Līguma par ES darbību 106. panta 2. punkta piemērošanu valsts atbalstam attiecībā uz kompensāciju par sabiedriskajiem pakalpojumiem dažiem uzņēmumiem, kuriem uzticēts sniegt pakalpojumus ar vispārēju tautsaimniecisku nozīmi (2012/21/ES) (sk. FM šā gada 12.aprīļa vēstulē Nr.7-4/18 /1115 skaidroto).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anotācijā precizēts valsts atbalsta piemērošanas izvērtējums, t.i., ka attiecībā uz 4.3.5.1. pasākuma 2. kārtas projekta iesniedzējiem neizpildās Komercdarbības atbalsta kontroles likuma 5. pantā noteiktā 4. pazīme. Attiecīgi valsts atbalsta nosacījumi 4.3.5.1. pasākuma 2. kārtas īstenošanas nosacījumos netiek paredzēti.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MK noteikumu projekta 11. punkts ir papildināts ar nosacījumu, ka projektā var iesaistīt tikai tādas mērķa grupas personas, par kurām ir pieņemts attiecīgas pašvaldības sociālā dienesta lēmums par projektā plānoto sabiedrībā balstītu sociālo pakalpojumu piešķiršanu.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Pasākuma otrās kārtas mērķa grupa ir: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- 28.05.2024.)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4.3.5.1. pasākuma 1. kārtas MK noteikumi nosaka, ka izveidotajā sabiedrībā balstītu sociālo pakalpojumu (SBSP) infrastruktūrā, tai skaitā projekta rezultātu ilgtspējas nodrošināšanas periodā, var sniegt maksas SBSP, ja pakalpojums mērķa grupas personām nenodrošina pilnu infrastruktūras noslodzi un sniedz tādus SBSP, kuriem izveidota SBSP infrastruktūra. MK noteikumu 47.3. punktā uzskaitītas visas personas, kurām var sniegt SBSP.</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4.3.5.1. pasākuma 2. kārtas Noteikumi ir vērsti tikai uz Noteikumu 3. punktā norādītajām personām. Iesakām 4.3.5.1. pasākuma 2. kārtas Noteikumus pielīdzināt/sasaistīt ar 4.3.5.1. pasākuma 1. kārtas MK noteikumiem un paplašināt personu loku atbilstoši 4.3.5.1. pasākuma 1. kārtas MK noteikumu 47.3. punktā norādītajām personām.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skaidro, ka 4.3.5.1. pasākuma 2. kārtas ietvaros nav paredzēti ieguldījumi pakalpojumu infrastruktūrā un attiecīgi saskaņā ar ES fondu ieguldījumu nosacījumiem 4.3.5.1. pasākuma 2. kārtas projektiem nav jānodrošina rezultātu ilgtspēja. Pēc 4.3.5.1. pasākuma 2. kārtas projekta īstenošanas beigām pašvaldības var turpināt projektā  nodrošināto pakalpojumu sniegšanu atbilstoši savām iespējām, vai arī pārtraukt projekta laikā sniegto pakalpojumu nodrošināšanu, ja finansējuma saņēmēja iespējams turpināt pakalpojumu sniegšanu ir ierobežotas.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4.3.5.1. pasākuma 2. kārtas projekta īstenošanas laikā pakalpojumi ir sniedzami tikai un vienīgi šī pasākuma mērķa grupas personām, bet pēc projekta īstenošanas beigām pakalpojumus var turpināt sniegt arī paplašinātam mērķa grupas personu lokam. Līdz ar to LM ieskatā 4.3.5.1. pasākuma 2. kārtās īstenošanas nosacījumus nav nepieciešams salāgot ar 4.3.5.1. pasākuma 1. kārtas nosacījumiem attiecībā uz paplašinātu mērķa grupu.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Pasākuma otrās kārtas mērķa grupa ir:</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personas pensijas vecumā, tai skaitā personas ar demenci.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EK regulā Nr.2023/1676 ietvertos nosacījumus likmes piemērošanai un anotācijā skaidroto, lūdzam papildināt MK noteikumu 3.3.apakšpunktu, nosakot, ka mērķa grupā ir ieskaitāmas tās personas pensijas vecumā, kuras objektīvu apstākļu dēļ nevar sevi aprūpēt (noteikts pirmais, otrais, trešais vai ceturtais aprūpes līmenis).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skaidro, ka 4.3.5.1. pasākuma 2. kārtas mērķa grupa ir identiska kā 4.3.5.1. pasākumā, līdz ar to abu pasākumu īstenošanas noteikumos tā tiek definēta identiski (bez papildinājuma par personām, kuras objektīvu apstākļu dēļ nevar sevi aprūpēt (noteikts pirmais, otrais, trešais vai ceturtais aprūpes līmenis), kurš ir noteikts MK noteikumu projekta anotācijā). Paplašināts skaidrojums attiecībā uz šo mērķa grupu un tām nodrošināmajiem pakalpojumiem projektu ietvaros ir sniegts anotācijā.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personas pensijas vecumā, tai skaitā personas ar demenci.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Sadarbības iestāde atklātu projektu iesniegumu atlasi organizē, atlases termiņus saskaņojot ar Labklājības ministriju kā atbildīgo iestādi. Atklātu projektu iesniegumu atlasi izsludina par visu pasākuma otrajai kārtai pieejamo kopējo attiecināmo finansējumu. Ja projektu iesniegumu atlasē neapstiprina projektu iesniegumus par visu pasākuma otrajai kārtai pieejamo kopējo attiecināmo finansējumu, rīko atkārtotu projektu iesniegumu atlasi par atlikušo pasākuma otrajai kārtai pieejamo kopējo attiecināmo finansējumu.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MK noteikumu 7.punktu iekļaujot precizējumu, ka atkārtotu projektu iesniegumu atlasi var rīkot saskaņojot ar AI, ņemot vērā, ka atlikušais finansējums var nebūt samērīgs jaunas atlases izsludināšanai (piemēram, ja atlikušais finansējums nav pietiekams pat vienam projektam), izsakot to šādā redakcijā: "Sadarbības iestāde atklātu projektu iesniegumu atlasi organizē, atlases termiņus saskaņojot ar Labklājības ministriju kā atbildīgo iestādi. Atklātu projektu iesniegumu atlasi izsludina par visu pasākuma otrajai kārtai pieejamo kopējo attiecināmo finansējumu. Ja projektu iesniegumu atlasē neapstiprina projektu iesniegumus par visu pasākuma otrajai kārtai pieejamo kopējo attiecināmo finansējumu, saskaņojot ar Labklājības ministriju  atbildīgo iestādi var rīkot atkārtotu projektu iesniegumu atlasi par atlikušo pasākuma otrajai kārtai pieejamo kopējo attiecināmo finansējumu".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Sadarbības iestāde atklātu projektu iesniegumu atlasi organizē, atlases termiņus saskaņojot ar Labklājības ministriju kā atbildīgo iestādi. Atklātu projektu iesniegumu atlasi izsludina par visu pasākuma otrajai kārtai pieejamo kopējo attiecināmo finansējumu. Ja projektu iesniegumu atlasē neapstiprina projektu iesniegumus par visu pasākuma otrajai kārtai pieejamo kopējo attiecināmo finansējumu, saskaņojot ar Labklājības ministriju kā atbildīgo iestādi var rīkot atkārtotu projektu iesniegumu atlasi par atlikušo pasākuma otrajai kārtai pieejamo kopējo attiecināmo finansējumu.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Sadarbības iestāde atklātu projektu iesniegumu atlasi organizē, atlases termiņus saskaņojot ar Labklājības ministriju kā atbildīgo iestādi. Atklātu projektu iesniegumu atlasi izsludina par visu pasākuma otrajai kārtai pieejamo kopējo attiecināmo finansējumu. Ja projektu iesniegumu atlasē neapstiprina projektu iesniegumus par visu pasākuma otrajai kārtai pieejamo kopējo attiecināmo finansējumu, sadarbības iestāde var rīkot atkārtotu projektu iesniegumu atlasi par atlikušo pasākuma otrajai kārtai pieejamo kopējo attiecināmo finansējumu, saskaņojot to ar Labklājības ministriju kā atbildīgo iestādi.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Pasākuma otrajai kārtai plānotais un pieejamais kopējais attiecināmais finansējums ir 15 800 186 </w:t>
            </w:r>
            <w:r w:rsidR="00000000" w:rsidRPr="00000000" w:rsidDel="00000000">
              <w:rPr>
                <w:i w:val="1"/>
                <w:rtl w:val="0"/>
              </w:rPr>
              <w:t xml:space="preserve">euro</w:t>
            </w:r>
            <w:r w:rsidR="00000000" w:rsidRPr="00000000" w:rsidDel="00000000">
              <w:rPr>
                <w:rtl w:val="0"/>
              </w:rPr>
              <w:t xml:space="preserve">, tai skaitā Eiropas Sociālā fonda Plus finansējums – 13 430 158 </w:t>
            </w:r>
            <w:r w:rsidR="00000000" w:rsidRPr="00000000" w:rsidDel="00000000">
              <w:rPr>
                <w:i w:val="1"/>
                <w:rtl w:val="0"/>
              </w:rPr>
              <w:t xml:space="preserve">euro</w:t>
            </w:r>
            <w:r w:rsidR="00000000" w:rsidRPr="00000000" w:rsidDel="00000000">
              <w:rPr>
                <w:rtl w:val="0"/>
              </w:rPr>
              <w:t xml:space="preserve"> un nacionālais līdzfinansējums– 2 370 028 </w:t>
            </w:r>
            <w:r w:rsidR="00000000" w:rsidRPr="00000000" w:rsidDel="00000000">
              <w:rPr>
                <w:i w:val="1"/>
                <w:rtl w:val="0"/>
              </w:rPr>
              <w:t xml:space="preserve">euro</w:t>
            </w:r>
            <w:r w:rsidR="00000000" w:rsidRPr="00000000" w:rsidDel="00000000">
              <w:rPr>
                <w:rtl w:val="0"/>
              </w:rPr>
              <w:t xml:space="preserve">, ko veido valsts un pašvaldību budžeta finansējums. Pašvaldību budžetu kā līdzfinansējuma avotu projektā plāno šo noteikumu 16.1. apakšpunktā minētie projektu iesniedzēji, savukārt valsts budžetu – šo noteikumu 16.2. apakšpunktā minētie projektu iesniedzēji.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8.punktu, norādot kopējo nacionālo līdzfinansējumu sadalījuma pa budžetiem, t.i. valsts budžeta līdzfinansējuma daļas apmēru un pašvaldību budžeta līdzfinansējuma daļas apmēru. Attiecīgi lūdzam precizēt arī anotācijas 3.sadaļas 6.punkta 1.rindkopā norādīto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skaidro, ka 4.3.5.1. pasākuma 2. kārta tiek īstenota atklātās projektu iesniegumu atlases veidā un uz MK noteikumu izstrādes brīdi nav iespējams prognozēt, cik no projekta iesniedzējiem būs pašvaldības (līdzfinansējuma avots pašvaldību budžets) un cik cii sociālo pakalpojumu sniedzēji (līdzfinansējuma avots valsts budžets). Līdz ar to, lai pēc atlases noslēgšanas nebūtu jāgroza MK noteikumu 8. punkts, nacionālā līdzfinansējuma sadalījums pa finansējuma avotiem netiek norādīts MK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 sadaļā nacionālā līdzfinansējuma sadalījumam pa finansējuma avotiem tiek piemērots indikatīvs dalījums 50% valsts budžets un 50% pašvaldību budžets.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Pasākuma otrajai kārtai plānotais un pieejamais kopējais attiecināmais finansējums ir 15 800 186 </w:t>
            </w:r>
            <w:r w:rsidR="00000000" w:rsidRPr="00000000" w:rsidDel="00000000">
              <w:rPr>
                <w:i w:val="1"/>
                <w:rtl w:val="0"/>
              </w:rPr>
              <w:t xml:space="preserve">euro</w:t>
            </w:r>
            <w:r w:rsidR="00000000" w:rsidRPr="00000000" w:rsidDel="00000000">
              <w:rPr>
                <w:rtl w:val="0"/>
              </w:rPr>
              <w:t xml:space="preserve">, tai skaitā Eiropas Sociālā fonda Plus finansējums – 13 430 158 </w:t>
            </w:r>
            <w:r w:rsidR="00000000" w:rsidRPr="00000000" w:rsidDel="00000000">
              <w:rPr>
                <w:i w:val="1"/>
                <w:rtl w:val="0"/>
              </w:rPr>
              <w:t xml:space="preserve">euro</w:t>
            </w:r>
            <w:r w:rsidR="00000000" w:rsidRPr="00000000" w:rsidDel="00000000">
              <w:rPr>
                <w:rtl w:val="0"/>
              </w:rPr>
              <w:t xml:space="preserve"> un nacionālais līdzfinansējums– 2 370 028 </w:t>
            </w:r>
            <w:r w:rsidR="00000000" w:rsidRPr="00000000" w:rsidDel="00000000">
              <w:rPr>
                <w:i w:val="1"/>
                <w:rtl w:val="0"/>
              </w:rPr>
              <w:t xml:space="preserve">euro</w:t>
            </w:r>
            <w:r w:rsidR="00000000" w:rsidRPr="00000000" w:rsidDel="00000000">
              <w:rPr>
                <w:rtl w:val="0"/>
              </w:rPr>
              <w:t xml:space="preserve">, ko veido valsts un pašvaldību budžeta finansējums. Pašvaldību budžetu kā līdzfinansējuma avotu projektā plāno šo noteikumu 16.1. apakšpunktā minētie projektu iesniedzēji, savukārt valsts budžetu – šo noteikumu 16.2. apakšpunktā minētie projektu iesniedzēji.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Maksimālais attiecināmais Eiropas Sociālā fonda Plus finansējuma apmērs nepārsniedz 85 procentus no projekta kopējā attiecināmā finansējuma un nacionālais līdzfinansējums nav mazāks par 15 procentiem no projektam plānotā kopējā attiecināmā finansējuma.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10. punktā noteikts, ka nacionālais līdzfinansējums nav mazāks par 15 procentiem no projekta plānotā kopējā attiecināmā finansējuma, savukārt no noteikumu projekta 8. punkta izriet, ka valsts budžeta līdzfinansējums ir 15 procenti no pasākuma kopējā attiecināmā finansējuma. Līdz ar to lūdzam anotācijā skaidrojumu par 10. punktā paredzēto.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skaidro, ka ESF+ daļa atsevišķos projektos varētu būt arī 84.99% un tad attiecīgi līdzfinansējuma daļa  ir 15.01%. Lai nebūtu gadījumi, kad mākslīgi jāmazina projekta kopējā attiecināmo izmaksu summa, lai visi finansējuma avoti iekļautos noteiktajos procentos (85%/15%), 10. punktā tiek noteikts, ka nacionālais līdzfinansējums nav mazāks par 15%.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projektu līmenī (10.punkts) ir iespējamas minimālas nobīdes no % sadalījumā, bet pasākuma līmenī (8.punkts) tiks ievērota proporcija 85 pret 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Maksimālais attiecināmais Eiropas Sociālā fonda Plus finansējuma apmērs nepārsniedz 85 procentus no projekta kopējā attiecināmā finansējuma un nacionālais līdzfinansējums nav mazāks par 15 procentiem no projektam plānotā kopējā attiecināmā finansējuma.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Pasākuma otrās kārtas ietvaros projekta minimālā attiecināmo izmaksu kopsumma nav ierobežota.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dzēst noteikumu projekta 13.punktu, ņemot vērā, ka noteikumu projekta 11.punktā ir noteikts minimālais projektā iesaistāmo mērķa grupas personu skaits, bet 20.punkā ir noteikts vienai personai paredzēto vienas vienības izmaksu apmērs par attiecīgā sabiedrībā balstītā sociālā pakalpojuma veida  nodrošināšanu konkrētā laika periodā (stundā/mēnesī).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skaidro, ka plānoto atbalstu mērķa grupas personām un attiecīgi arī vienas vienības izmaksu apmēru projektā plāno atbilstoši mērķa grupas personas individuālajām vajadzībām pēc konkrētā pakalpojuma. Piemēram, vienai personai dienas aprūpes centra pakalpojums ir nepieciešams katru dienu četru stundu apmērā, bet citai – tikai divas reizes nedēļā 3 stundu apmērā. Līdz ar to nav iespējams noteikt vienotu minimālā apmērā atbalstu (un attiecīgi izmaksas) uz vienu mērķa grupas personu un tādēļ MK noteikumu 13. punkts ir saglabājams.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Pasākuma otrās kārtas ietvaros projekta minimālā attiecināmo izmaksu kopsumma nav ierobežota.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Projekta maksimālo attiecināmo izmaksu kopsummu aprēķina, reizinot projektā iesaistāmo šo noteikumu 3. punktā minēto mērķa grupas personu skaitu ar indikatīvajām izmaksām vienai mērķa grupas personai, ievērojot šo noteikumu 20.1. un 20.2. apakšpunktā minētos izmaksu ierobežojumus.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14.punktā dzēst vārdu "maksimālo", tādējādi attiecinot nosacījumu uz kopējo projekta attiecināmo izmaksu apjoma aprēķinu, kā arī vārdus "indikatīvajām izmaksām" aizstāt ar vārdiem "vienas vienības izmaksām", ņemot vērā, ka noteikumu projekta 20.1. un 20.2. apakšpunktā minēti konkrēti izmaksu ierobežojumi.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attiecināmo izmaksu kopsummu aprēķina, reizinot projektā iesaistāmo šo noteikumu 3. punktā minēto mērķa grupas personu skaitu ar vienas vienības izmaksām vienai mērķa grupas personai, ievērojot šo noteikumu 20.1. un 20.2. apakšpunktā minētos izmaksu ierobežojumus.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Projekta attiecināmo izmaksu kopsummu aprēķina, reizinot projektā iesaistāmo šo noteikumu 3. punktā minēto mērķa grupas personu skaitu ar vienas vienības izmaksām vienai mērķa grupas personai, ievērojot šo noteikumu 20.1. un 20.2. apakšpunktā minētos izmaksu ierobežojumus.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Projekta iesniedzējs pasākuma otrās kārtas ietvaros ir: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MK noteikumu 15.punktā (vai atsevišķā punktā) iekļaut prasību, ka </w:t>
            </w:r>
            <w:r w:rsidR="00000000" w:rsidRPr="00000000" w:rsidDel="00000000">
              <w:rPr>
                <w:b w:val="1"/>
                <w:rtl w:val="0"/>
              </w:rPr>
              <w:t xml:space="preserve">projekta iesniedzējam </w:t>
            </w:r>
            <w:r w:rsidR="00000000" w:rsidRPr="00000000" w:rsidDel="00000000">
              <w:rPr>
                <w:rtl w:val="0"/>
              </w:rPr>
              <w:t xml:space="preserve">un sabiedrībā balstītiem sociālajiem </w:t>
            </w:r>
            <w:r w:rsidR="00000000" w:rsidRPr="00000000" w:rsidDel="00000000">
              <w:rPr>
                <w:b w:val="1"/>
                <w:rtl w:val="0"/>
              </w:rPr>
              <w:t xml:space="preserve">pakalpojumiem</w:t>
            </w:r>
            <w:r w:rsidR="00000000" w:rsidRPr="00000000" w:rsidDel="00000000">
              <w:rPr>
                <w:rtl w:val="0"/>
              </w:rPr>
              <w:t xml:space="preserve">, kurus plānots projekta ietvaros nodrošināt projekta mērķa grupas personām, ir jābūt reģistrētiem sociālo pakalpojumu sniedzēju reģistrā.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MK noteikumu projekta 18, punkts (iepriekš 17.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Projekta iesniedzējs pasākuma otrās kārtas ietvaros ir:</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Projekta iesniedzējs katrā projektu iesniegumu atlasē var iesniegt vienu projekta iesniegumu.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iekļaut MK noteikumu 17. punktā vai citā punktā nosacījumu, ka, ja atbilstoši 7.punktā noteiktajam izsludina jaunu projektu iesniegumu atlasi par atlikušo pasākuma 2.kārtai pieejamo finansējumu, projektā jāparedz citi pakalpojumu veidi vai tie paši pakalpojumu veidi, bet citas mērķa grupas personām, tādējādi nodrošinot, ka vienlaicīgi netiek sniegti vieni un tie paši pakalpojumi vienām un tām pašām mērķa grupas personām dažādu projektu ietvaros, ievērojot, ka šādā situācijā projektu īstenošanas termiņš var pārklāties.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skaidro, ka gadījumā, ja tiks sludināta atkārtota atlase, tā tiks sludināta uzreiz pēc projektu vērtēšanas sākotnējās atlases ietvaros un atkārtotā atlase netiks atbalstīti projekti, kuros paredzēta tāda paša pakalpojuma sniegšana, kas jau atbalstīta sākotnējās atlases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Projekta iesniedzējs katrā projektu iesniegumu atlasē var iesniegt vienu projekta iesniegumu par sabiedrībā balstītu sociālo pakalpojumu sniegšanu vienas pašvaldības administratīvajā teritorijā. Projekta iesniedzējam un sociālajiem pakalpojumiem, kurus plānots projekta ietvaros nodrošināt projekta mērķa grupas personām, ir jābūt reģistrētiem sociālo pakalpojumu sniedzēju reģistrā.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19.2. aprūpes pakalpojumu mājās (grupu māja (dzīvoklis)) sniegšanas izmaksas – 1705 </w:t>
            </w:r>
            <w:r w:rsidR="00000000" w:rsidRPr="00000000" w:rsidDel="00000000">
              <w:rPr>
                <w:i w:val="1"/>
                <w:rtl w:val="0"/>
              </w:rPr>
              <w:t xml:space="preserve">euro</w:t>
            </w:r>
            <w:r w:rsidR="00000000" w:rsidRPr="00000000" w:rsidDel="00000000">
              <w:rPr>
                <w:rtl w:val="0"/>
              </w:rPr>
              <w:t xml:space="preserve"> mēnesī par personai individuāli sniegtu atbalstu, ievērojot, ka kopējais atbalsts pakalpojuma sniegšanai vienai šo noteikumu 3. punktā minētajai mērķa grupas personai nevar pārsniegt 40 918</w:t>
            </w:r>
            <w:r w:rsidR="00000000" w:rsidRPr="00000000" w:rsidDel="00000000">
              <w:rPr>
                <w:i w:val="1"/>
                <w:rtl w:val="0"/>
              </w:rPr>
              <w:t xml:space="preserve"> euro</w:t>
            </w:r>
            <w:r w:rsidR="00000000" w:rsidRPr="00000000" w:rsidDel="00000000">
              <w:rPr>
                <w:rtl w:val="0"/>
              </w:rPr>
              <w:t xml:space="preserve"> 24 mēnešu periodā.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aktualizēt 4.3.5. specifiskā atbalsta mērķa "Uzlabot vienlīdzīgu un savlaicīgu piekļuvi kvalitatīviem, ilgtspējīgiem un izmaksu ziņā pieejamiem pakalpojumiem; pilnveidot sociālās aizsardzības sistēmas, tostarp veicināt sociālās aizsardzības pieejamību; uzlabot ilgtermiņa aprūpes pakalpojumu pieejamību, efektivitāti un izturētspēju" rādītāju metodoloģijas aprakstā (RMA) i.4.3.5.b. rādītāja "Sociālās atstumtības riskam pakļautas personas, kuras saņēmušas sabiedrībā balstītus sociālos pakalpojumus" aprēķinu, atbilstoši noteikumu projektā norādītai aprūpes pakalpojumu mājās likmei 40 918 euro (RMA ir 41 188 euro).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 aprūpes pakalpojumu mājās (grupu māja (dzīvoklis)) sniegšanas izmaksas – 1705 </w:t>
            </w:r>
            <w:r w:rsidR="00000000" w:rsidRPr="00000000" w:rsidDel="00000000">
              <w:rPr>
                <w:i w:val="1"/>
                <w:rtl w:val="0"/>
              </w:rPr>
              <w:t xml:space="preserve">euro</w:t>
            </w:r>
            <w:r w:rsidR="00000000" w:rsidRPr="00000000" w:rsidDel="00000000">
              <w:rPr>
                <w:rtl w:val="0"/>
              </w:rPr>
              <w:t xml:space="preserve"> mēnesī par personai individuāli sniegtu atbalstu, ievērojot, ka kopējais atbalsts pakalpojuma sniegšanai vienai šo noteikumu 3. punktā minētajai mērķa grupas personai nevar pārsniegt 40 918</w:t>
            </w:r>
            <w:r w:rsidR="00000000" w:rsidRPr="00000000" w:rsidDel="00000000">
              <w:rPr>
                <w:i w:val="1"/>
                <w:rtl w:val="0"/>
              </w:rPr>
              <w:t xml:space="preserve"> euro</w:t>
            </w:r>
            <w:r w:rsidR="00000000" w:rsidRPr="00000000" w:rsidDel="00000000">
              <w:rPr>
                <w:rtl w:val="0"/>
              </w:rPr>
              <w:t xml:space="preserve"> 24 mēnešu periodā.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19.2. aprūpes pakalpojumu mājās (grupu māja (dzīvoklis)) sniegšanas izmaksas – 1705 </w:t>
            </w:r>
            <w:r w:rsidR="00000000" w:rsidRPr="00000000" w:rsidDel="00000000">
              <w:rPr>
                <w:i w:val="1"/>
                <w:rtl w:val="0"/>
              </w:rPr>
              <w:t xml:space="preserve">euro</w:t>
            </w:r>
            <w:r w:rsidR="00000000" w:rsidRPr="00000000" w:rsidDel="00000000">
              <w:rPr>
                <w:rtl w:val="0"/>
              </w:rPr>
              <w:t xml:space="preserve"> mēnesī par personai individuāli sniegtu atbalstu, ievērojot, ka kopējais atbalsts pakalpojuma sniegšanai vienai šo noteikumu 3. punktā minētajai mērķa grupas personai nevar pārsniegt 40 918</w:t>
            </w:r>
            <w:r w:rsidR="00000000" w:rsidRPr="00000000" w:rsidDel="00000000">
              <w:rPr>
                <w:i w:val="1"/>
                <w:rtl w:val="0"/>
              </w:rPr>
              <w:t xml:space="preserve"> euro</w:t>
            </w:r>
            <w:r w:rsidR="00000000" w:rsidRPr="00000000" w:rsidDel="00000000">
              <w:rPr>
                <w:rtl w:val="0"/>
              </w:rPr>
              <w:t xml:space="preserve"> 24 mēnešu periodā.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MK noteikumu 19.2.apakšpunktu ar likmes veidu - "aprūpes pakalpojumu mājās (grupu māja (dzīvoklis)) sniegšanas izmaksas – 85 euro dienā", gadījumiem, kad grupu mājas (dzīvokļa) pakalpojums tiek sniegts nepilnu mēnesi.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skaidro, ka aprūpes mājās tipa pakalpojumu dienas likmes piemērošana ir atrunāta MK noteikumu projekta anotācijā un lai nodrošinātu vienotu pieeju ar 4.3.5.1. pasākuma 1. kārtas MK noteikumu regulējumu, tā netiek iekļauta MK noteikumu projektā.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 aprūpes pakalpojumu mājās (grupu māja (dzīvoklis)) sniegšanas izmaksas – 1705 </w:t>
            </w:r>
            <w:r w:rsidR="00000000" w:rsidRPr="00000000" w:rsidDel="00000000">
              <w:rPr>
                <w:i w:val="1"/>
                <w:rtl w:val="0"/>
              </w:rPr>
              <w:t xml:space="preserve">euro</w:t>
            </w:r>
            <w:r w:rsidR="00000000" w:rsidRPr="00000000" w:rsidDel="00000000">
              <w:rPr>
                <w:rtl w:val="0"/>
              </w:rPr>
              <w:t xml:space="preserve"> mēnesī par personai individuāli sniegtu atbalstu, ievērojot, ka kopējais atbalsts pakalpojuma sniegšanai vienai šo noteikumu 3. punktā minētajai mērķa grupas personai nevar pārsniegt 40 918</w:t>
            </w:r>
            <w:r w:rsidR="00000000" w:rsidRPr="00000000" w:rsidDel="00000000">
              <w:rPr>
                <w:i w:val="1"/>
                <w:rtl w:val="0"/>
              </w:rPr>
              <w:t xml:space="preserve"> euro</w:t>
            </w:r>
            <w:r w:rsidR="00000000" w:rsidRPr="00000000" w:rsidDel="00000000">
              <w:rPr>
                <w:rtl w:val="0"/>
              </w:rPr>
              <w:t xml:space="preserve"> 24 mēnešu periodā.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Šo noteikumu 21. punktā minētos starpposma maksājumus sadarbības iestāde veic arī laikposmā, kad finansējuma saņēmējs izmanto saņemtā avansa maksājumu. Finansējuma saņēmējs avansa pieprasījumu sagatavo un sadarbības iestāde to apstiprina, ņemot vērā nosacījumu, ka plānotā avansa apmērs atbilst iespējai to izlietot deviņu mēnešu laikā saimnieciskā gada ietvaros. Finansējuma saņēmējam avansu sadarbības iestāde var piešķirt līdz 30 procentiem no Eiropas Sociālā fonda Plus finansējuma un valsts budžeta finansējuma kopējās summas, ievērojot, ka avansu var izmaksāt vairākos maksājumos.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Ministru kabineta 2023. gada 25. aprīļa noteikumu Nr. 205 "Valsts budžeta līdzekļu plānošanas kārtība Eiropas Savienības fondu projektu īstenošanai un maksājumu veikšanai 2021.–2027. gada plānošanas periodā" 26. punkta izriet, ka avanss izmantojams sešu mēnešu laikā, ja vien normatīvajā aktā par specifiskā atbalsta mērķa īstenošanu nav noteikts garāks termiņš. Ņemot vērā, ka noteikumu projekta 22. punkts paredz garāku avansa izmantošanas termiņu - deviņus mēnešus, - lūdzam papildināt anotāciju ar pamatojumu garāka termiņa noteikšanai.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atbilstoši precizēt arī anotācijas 3. sadaļas 6. punktā iekļauto informāciju, jo tajā minēts, ka avanss izlietojams </w:t>
            </w:r>
            <w:r w:rsidR="00000000" w:rsidRPr="00000000" w:rsidDel="00000000">
              <w:rPr>
                <w:u w:val="single"/>
                <w:rtl w:val="0"/>
              </w:rPr>
              <w:t xml:space="preserve">sešu mēnešu laikā</w:t>
            </w:r>
            <w:r w:rsidR="00000000" w:rsidRPr="00000000" w:rsidDel="00000000">
              <w:rPr>
                <w:rtl w:val="0"/>
              </w:rPr>
              <w:t xml:space="preserve"> saimnieciskā gada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lai noteikumu projekta 15.2. apakšpunktā minētajiem finansējuma saņēmējiem netiktu radīts lieks administratīvais slogs, lūdzam izvērtēt, vai nevajag papildināt noteikumu projekta 22. punktu, nosakot, ka nosacījums avansu izlietot saimnieciskā gada ietvaros attiecas tikai gadījumā, ja finansējuma saņēmējs ir pašvaldība.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23. punktā (iepriekš 22. punkts) precizēts 9 mēnešu periods uz 6 mēnešiem.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Šo noteikumu 22. punktā minētos starpposma maksājumus sadarbības iestāde veic arī laikposmā, kad finansējuma saņēmējs izmanto saņemtā avansa maksājumu. Finansējuma saņēmējs avansa pieprasījumu sagatavo un sadarbības iestāde to apstiprina, ņemot vērā nosacījumu, ka plānotā avansa apmērs atbilst iespējai to izlietot sešu mēnešu laikā saimnieciskā gada ietvaros. Finansējuma saņēmējam avansu sadarbības iestāde var piešķirt līdz 30 procentiem no Eiropas Sociālā fonda Plus finansējuma un valsts budžeta finansējuma kopējās summas, ievērojot, ka avansu var izmaksāt vairākos maksājumos.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Sniedzot šo noteikumu 25.2. un 25.3. apakšpunktā minētos pakalpojumus, finansējuma saņēmējs papildus prasībām, kas noteiktas normatīvajos aktos par prasībām sociālo pakalpojumu sniedzējiem, nodrošina mērķa grupas personai veselības aprūpes speciālistu atbalstu.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- 06.08.2024.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noteikumos un/vai noteikumu anotācijā konkretizēt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kuras būs izvirzāmas veselības aprūpes speciālistam, kura, pasākuma ietvaros, iesaiste sniegto dienas aprūpes centra pakalpojumam personām ar smagiem funkcionāliem traucējumiem (pilngadīgām personām ar GRT darbspējas vecumā) ir noteikta kā obligāta prasība,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medicīniskās aprūpes apjomu, kurš būs jānodrošina veselības aprūpes speciālistam,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iespēju pakalpojuma sniedzējam, pakalpojuma sniegšanas laikā, veselības aprūpes speciālistu dienas aprūpes centrā piesaistīt uz pakalpojuma līguma pamata.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precizēto anotāciju.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Sniedzot šo noteikumu 25.2. un 25.3. apakšpunktā minētos pakalpojumus, finansējuma saņēmējs papildus prasībām, kas noteiktas normatīvajos aktos par prasībām sociālo pakalpojumu sniedzējiem, nodrošina mērķa grupas personai veselības aprūpes speciālistu atbalstu.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Projekta kopējo attiecināmo izmaksu ietvaros vienai šo noteikumu 3. punktā minētajai mērķa grupas personai sabiedrībā balstītus sociālos pakalpojumus sniedz ne ilgāk kā 24 mēnešus.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MK noteikumu 27.punktā ir noteikts maksimālais SBSP sniegšanas periods (24 mēneši), bet vienlaikus rādītāju pasē noteikts: "2.kārta – sabiedrībā balstītu pakalpojumu sniegšana </w:t>
            </w:r>
            <w:r w:rsidR="00000000" w:rsidRPr="00000000" w:rsidDel="00000000">
              <w:rPr>
                <w:u w:val="single"/>
                <w:rtl w:val="0"/>
              </w:rPr>
              <w:t xml:space="preserve">divus gadus </w:t>
            </w:r>
            <w:r w:rsidR="00000000" w:rsidRPr="00000000" w:rsidDel="00000000">
              <w:rPr>
                <w:rtl w:val="0"/>
              </w:rPr>
              <w:t xml:space="preserve">mērķa grupas personām, kuru nodrošinās sociālo pakalpojumu sniedzēji ...", un netiek pieļauts īsāks pakalpojuma sniegšanas laiks, lūdzam izvērtēt, vai nav precizējama rādītāju pase atbilstoši MK noteikumu 27.punkta redakcijai, nosakot, ka SBSP sniedz </w:t>
            </w:r>
            <w:r w:rsidR="00000000" w:rsidRPr="00000000" w:rsidDel="00000000">
              <w:rPr>
                <w:u w:val="single"/>
                <w:rtl w:val="0"/>
              </w:rPr>
              <w:t xml:space="preserve">ne ilgāk kā 24 mēnešus</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SAM 4.3.5. rādītāju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Projekta kopējo attiecināmo izmaksu ietvaros vienai šo noteikumu 3. punktā minētajai mērķa grupas personai sabiedrībā balstītus sociālos pakalpojumus sniedz ne ilgāk kā 24 mēnešus.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Īstenojot projektu, finansējuma saņēmējs: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28.punktu, ka finansējuma saņēmējs uzņemas segt izmaksu sadārdzinājumu.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4.3.5.1. pasākuma 2. kārtas projektos plānotas tikai vienas vienības izmaksas un citas izmaksas šajos projektos nav paredzētas. Tā kā tās ir ES līmeņa vienības izmaksas, tās balstītas uz datiem par vidējām sociālo pakalpojumu sniegšanas cenām tirgū attiecīgajā dalībvalstī. Attiecīgi izmaksu sadārdzinājuma riski ir vērtējami kā zemi.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vēlamies vērst uzmanību, ka, parakstot līgumu/vienošanos par projekta īstenošanu ar sadarbības iestādi, finansējuma saņēmējs paraksta arī apliecinājumu, ka visu sadārdzinājumu, kas radīsies projekta īstenošanas laikā, finansējuma saņēmējs apņemas segt no saviem finanšu līdzekļiem. Papildus tam arī Eiropas Komisijas regulējums attiecībā uz izmaksu sadārdzinājumu projektos neatļauj no ES fondiem finansēt izmaksu sadārdzinājumu, kas radies projektu īstenošanas laikā. Līdz ar to LM ieskatā nav nepieciešams dublēt MK noteikumos par pasākuma īstenošanu fondu regulējumu, kas ir noteikts Eiropas Komisijas normatīvajos aktos.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Īstenojot projektu, finansējuma saņēmējs: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28.5.2. specifiskas atbalsta pakalpojumus saņēmušo personu ar invaliditāti skaits;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MKN 28.5.2.apakšpunktā noteikto HP VINPI rādītāju atbilstoši LM/TM vadlīniju "Horizontālais princips “Vienlīdzība, iekļaušana, nediskriminācija un pamattiesību ievērošana” vadlīnijas īstenošanai un uzraudzībai (2021-2027)"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aktuālajai versijai, izsakot šādā redakcijā: "Specifiskus atbalsta pakalpojumus saņēmušo personu ar invaliditāti skaits (surdotulka, mentora, specializētā transporta pakalpojumi, atbalsta personas)".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noteikumu 29.5.2. apakšpunkts (iepriekš 28.5.2.apakšpunkts).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29.5.2. specifiskas atbalsta pakalpojumus saņēmušo personu ar invaliditāti skaits;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29.7. pasākuma otrās kārtas ietvaros neplāno atbalstu tādām darbībām, kurām atbalsts atbilstoši Komercdarbības atbalsta kontroles likuma 5. pantā noteiktajam būtu kvalificējams kā komercdarbības atbalsts. Ja projekta īstenošanas laikā konstatē, ka ir sniegts atbalsts saimnieciskām darbībām, kurām sniegtais atbalsts būtu kvalificējams kā komercdarbības atbalsts, finansējuma saņēmējs atmaksā sadarbības iestādei nelikumīgo atbalstu saskaņā ar Komercdarbības atbalsta kontroles likuma IV vai V nodaļu;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to, ka finansējuma saņēmējam saprotami visi nosacījumi un pienākumi, kas tam jāievēro, ja projekta īstenošanas laikā tiek konstatēts, ka ir sniegts atbalsts saimnieciskām darbībām, kurām sniegtais atbalsts būtu kvalificējams kā komercdarbības atbalsts, lūdzam precizēt noteikumu projekta 29.7. apakšpunktu, piemēram, šādā redakcijā: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29.7. pasākuma otrās kārtas ietvaros neplāno atbalstu tādām darbībām, kurām atbalsts atbilstoši Komercdarbības atbalsta kontroles likuma 5. pantā noteiktajam būtu kvalificējams kā komercdarbības atbalsts. Ja projekta īstenošanas laikā konstatē, ka ir sniegts atbalsts saimnieciskām darbībām, kurām sniegtais atbalsts būtu kvalificējams kā komercdarbības atbalsts, finansējuma saņēmējs atmaksā sadarbības iestādei nelikumīgo komercdarbības atbalstu kopā ar procentiem no līdzekļiem, kas ir brīvi no komercdarbības atbalsta, saskaņā ar Komercdarbības atbalsta kontroles likuma IV vai V nodaļu;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29.7. pasākuma otrās kārtas ietvaros neplāno atbalstu tādām darbībām, kurām atbalsts atbilstoši Komercdarbības atbalsta kontroles likuma 5. pantā noteiktajam būtu kvalificējams kā komercdarbības atbalsts. Ja projekta īstenošanas laikā konstatē, ka ir sniegts atbalsts saimnieciskām darbībām, kurām sniegtais atbalsts būtu kvalificējams kā komercdarbības atbalsts, finansējuma saņēmējs atmaksā sadarbības iestādei nelikumīgo atbalstu kopā ar procentiem no līdzekļiem, kas ir brīvi no komercdarbības atbalsta, saskaņā ar Komercdarbības atbalsta kontroles likuma IV vai V nodaļu;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29.1.2. parakstījuši apliecinājumus par interešu konflikta neesamību saskaņā ar Eiropas Parlamenta un Padomes 2018. gada 18. jūlija Regulas (ES, Euratom)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 61. pantu un publisko iepirkumu regulējošiem normatīviem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anotāciju ar informāciju, ka finansējuma saņēmējs  izstrādā nosacījumus, kā tas pārliecinās par interešu konflikta, krāpšanas un korupcijas risku neesamību, tostarp identificē apstākļus, kuri izraisa vai var izraisīt interešu konfliktu un krāpšanas un korupcijas riskus, kas rada apdraudējumu vai kaitējumu projekta īstenošanā, nosaka veicamos pasākumus un izstrādā darbības plānu interešu konflikta un krāpšanas un korupcijas risku preventīvai novēršanai un gadījumiem, kad interešu konflikts, krāpšana vai korupcija ir atklāta.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skaidro, ka daļa no 4.3.5.1. pasākuma 2. kārtas projektu iesniedzējiem būs privāti sociālie pakalpojumu sniedzēji un prasība finansējuma  saņēmējam izstrādāt Iekšējās kontroles sistēmu, nav attiecināma uz privāto tiesību subjektiem.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30.1.2. parakstījuši apliecinājumus par interešu konflikta neesamību saskaņā ar Eiropas Parlamenta un Padomes 2018. gada 18. jūlija Regulas (ES, Euratom)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 61. pantu un publisko iepirkumu regulējošiem normatīviem aktiem;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Pasākuma otrās kārtas ietvaros visi īstenotie projekti ir stratēģiski svarīgi projekti. Lai nodrošinātu papildu komunikācijas pasākumus par stratēģiski svarīgu projektu īstenošanu, Labklājības ministrija kā atbildīgā iestāde pasākuma otrās kārtas īstenošanas laikā organizē vismaz vienu informatīvo pasākumu vai aktivitāti, kurā iesaista Eiropas Komisijas pārstāvniecību Latvijā, Labklājības ministriju, vadošo iestādi un sadarbības iestādi.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punktu ar informāciju, norādot kas izstrādās stratēģiski svarīgu projektu komunikācijas plānu, attiecīgi nosakot arī vai tas būs katram projektam atsevišķi vai viens plāns visai stratēģi svarīgo projektu kopai, kā tas ir norādīts 4.3.5.1. pasākuma 1. kārtas MKN 49.punktā: https://likumi.lv/ta/id/350483#p49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noteikumu 32. punkts (iepriekš 31.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Pasākuma otrās kārtas ietvaros visi īstenotie projekti ir stratēģiski svarīgu projektu kopa. Lai nodrošinātu papildu komunikācijas pasākumus par stratēģiski svarīgu projektu īstenošanu, atbildīgā iestāde izstrādā komunikācijas plānu pasākuma otrās kārtas stratēģiski svarīgo projektu kopai un pasākuma otrās kārtas īstenošanas laikā organizē vismaz vienu informatīvo pasākumu vai aktivitāti, kurā iesaista Eiropas Komisijas pārstāvniecību Latvijā, Labklājības ministriju, vadošo iestādi un sadarbības iestādi.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teikumu "4.3.5.1. pasākuma 2.kārtas ietvaros paredzētas tikai vienkāršotās attiecināmās izmaksas" redakcionāli precizēt, ņemot vērā, ka nepastāv šāda attiecināmo izmaksu kategorija.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4.3.5.1. pasākuma 2.kārtas ietvaros paredzētas tikai </w:t>
            </w:r>
            <w:r w:rsidR="00000000" w:rsidRPr="00000000" w:rsidDel="00000000">
              <w:rPr>
                <w:b w:val="1"/>
                <w:rtl w:val="0"/>
              </w:rPr>
              <w:t xml:space="preserve">vienkāršotās izmaksas</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EK regulā 2023/1676 noteiktās likmes var piemērot tikai tādā gadījumā, ja tiek izpildīti visi regulā atrunātie nosacījumi likmes piemērošanai.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anotācijā sniegto informāciju, secināms, ka atkarībā no nepieciešamības pakalpojums var tikt sniegts arī mazāk par 8 stundām dienā (piemēram, 5 stundas dienā) un šādos gadījumos neizpildās EK regulā 2023/1676 noteiktie kritēriji dienas likmes piemērošanai.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lūdzam precizēt anotācijas sadaļu "Risinājuma apraksts", aprūpes mājās pakalpojumam papildus mēneša un dienas likmei paredzot piemērot arī stundas likmi 10,66 EUR/h 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skaidro, ka dienas likme tiks piemērota tikai gadījumos, kad pakalpojums tiek sniegts nepilnu mēnesi, t.i. uzsākot, vai izbeidzot pakalpojuma sniegšanu, tāpēc pakalpojuma sniegšanā ir piemērojami tādi paši nosacījumi kā mēneša likmes piemērošanas gadījumā. Plānojot mēneša likmes piemērošanu, LM balstījās uz pieņēmumu, ka mēneša likmes aprēķins pamatojas uz 160 kontaktstundām, t.i. 8 stundas dienā x 20 dienas mēnesī, savukārt grupu dzīvoklī pakalpojumu sniedz arī brīvdienās, tātad 30 dienas nedēļā. Attiecīgi, ja 160- kontakstundas izdala ar 30 dienām, tad vidēji dienā sanāk 5,3 stundas. Identisks regulējums ir paredzēts MK noteikumos par šī pasākuma 1.kārtu un pie vienādām darbībām nosacījumiem nebūtu jāatšķiras.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- 28.05.2024.)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6.lpp.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4.lappusē ir teikts, “Sabiedrībā balstīti pakalpojumi ir pakalpojumi, kas personai sniedz atbalstu funkcionālo traucējumu radīto ierobežojumu pārvarēšanai, dodot iespēju dzīvot mājās, un bērnu gadījumā – augt ģimeniskā vai tai pietuvinātā vidē, ietverot preventīvos pasākumus, lai novērstu ilgstošas aprūpes institūciju pakalpojumu nepieciešamību. Sabiedrībā balstīti sociālie pakalpojumi ir pretstatīti institucionālajai aprūpei.”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daudz runāts arī par SBSP pakalpojumu īpatsvara palielināšanu, bet tajā pašā laikā anotācijā iekļautais mērķa grupas definējums ierobežo cilvēku, kuri jau ir nonākuši ilgstošās aprūpes institūcijā, tiesības izmanot SBSP, piemēram, grupas mājas pakalpojumus. Attīstības vīzija, ka SBSP pakalpojumiem ir jāattīstās tāda veidā, lai tie buti pieejami pēc iespējas plašākam mērķa grupas personu lokam.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Deinstitucionalizācijas procesā noteikti ir jāatļauj piedalīties arī esošiem pansionātu klientiem, jo SBSP piedāvā labāko dzīves kvalitāti, ģimenisko vidi un socializācijas iespējas. Vai tā nebūtu diskriminācija, ja iespēja dzīvot labāko dzīvi būtu liegta esošajiem ilgstošo sociālās aprūpes un sociālās rehabilitācijas institūciju klientiem? Piekrītu, ka DI viens no mērķiem atvieglot ģimenes locekļu slodzi, aprūpējot radiniekus, iespējams, risinājums būtu proporcija. Un dažreiz mēdz būt arī tādas situācijas, kad radinieki nosuta ģimenes locekli uz pansionātu un paņem atpakaļ. Kā rīkoties šajā situācijā? Un vai šīs definējums tiešam liedz visas iespējas ilgstošās sociālās aprūpes klientiem piedalīties 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Attīstoties SBSP ietekmēs tradicionālo sociālo pakalpojumu kvalitāti, papildus tam, pašvaldībām ir vitāli nepieciešami atbalsta pasākumi un projekti, lai katra institūcija attīstītu ģimeniskās vides  iezīmes.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skaidro, ka mērķa grupas definējums neliedz personai, kura ir bijusi ilgstošas aprūpes institūcijas klients saņemt sabiedrībā balstītus sociālos pakalpojumus. Ja persona pārtrauc saņemt pakalpojumu ilgstošas aprūpes institūcijā, viņš/ viņa var saņemt projekta finansētu grupu dzīvokļa vai dienas aprūpes centra pakalpojumu. Ierobežojums ir tikai vienlaicīgai sabiedrībā balstītu sociālo pakalpojumu un pakalpojumu ilgstošas aprūpes institūcijā saņemšanai, jo persona nevar vienlaicīgi dzīvot institūcijā un grupu mājā.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atbalsta sniegšana mērķa grupas personām, kuras projekta īstenošanas laikā izies, vai pēdējo sešu mēnešu laikā ir izgājušas no ilgstošas sociālās aprūpes institūcijas un uzsāk dzīvi pašvaldībā, pat tiek veicināta, paredzot iespēju projektiem, kuros šāda veida atbalsts ir plānots, saņemt papildus punktus (3.4.4.apkškritērijs).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un norādīt, vai plānotajām investīcijām būs tieša, netieša, vai nebūs ietekmes uz horizontālajiem principiem (HP):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a)“Klimatdrošināšana”;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b)“Energoefektivitāte pirmajā vietā”;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c)“Nenodarīt būtisku kaitējumu”.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sadaļas "Risinājuma apraksts" 2.punkta pēdējo rindkopu: "Visiem SBSP, kurus plānots projekta ietvaros nodrošināt projekta mērķa grupas personām, ir jābūt reģistrētiem sociālo pakalpojumu sniedzēju reģistrā", norādot, ka sociālo pakalpojumu sniedzēju reģistrā ir jābūt reģistrētam </w:t>
            </w:r>
            <w:r w:rsidR="00000000" w:rsidRPr="00000000" w:rsidDel="00000000">
              <w:rPr>
                <w:u w:val="single"/>
                <w:rtl w:val="0"/>
              </w:rPr>
              <w:t xml:space="preserve">gan pakalpojumu sniedzējam, gan sniegšanas vietai, gan konkrētajam pakalpojuma veidam attiecīgajai mērķa grupai.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skaidrojot, vai gadījumā, ja projekta iesniedzējs, piemēram, pašvaldība ir izveidojusi vairākus sociālo pakalpojumu sniedzējus, piemēram, pašvaldības iestāde "Sociālais dienests" un pašvaldības kapitālsabiedrība "SIA Aprūpe", vai projekta iesniegumu var iesniegt katrs izveidotais pakalpojumu sniedzējs vai tikai viens no attiecīgās pašvaldības.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 sadaļu ar informāciju par sinerģiju, papildināmību ar ES un citiem atbalsta instrumentiem, piemēram, Atveseļošanas un noturības mehānisma investīcijām, norādot, kā tiks nodrošināta demarkācija un dubultfinansējuma riska novēršana gadījumos, kad no dažādiem finanšu avotiem tiks atbalstītas vienas un tās pašas atbalstāmās darbības (ja attiecināms).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atbilstoši anotācijas sadaļā "Risinājuma apraksts" norādītajam tiek paredzēta dienas likme grupu mājas (dzīvokļa) pakalpojumam - 85 EUR dienā, lūdzam anotāciju papildināt, nosakot, ka dienas likme 85 EUR attiecināma, </w:t>
            </w:r>
            <w:r w:rsidR="00000000" w:rsidRPr="00000000" w:rsidDel="00000000">
              <w:rPr>
                <w:u w:val="single"/>
                <w:rtl w:val="0"/>
              </w:rPr>
              <w:t xml:space="preserve">pamatojoties uz astoņām kontaktstundām</w:t>
            </w:r>
            <w:r w:rsidR="00000000" w:rsidRPr="00000000" w:rsidDel="00000000">
              <w:rPr>
                <w:rtl w:val="0"/>
              </w:rPr>
              <w:t xml:space="preserve">, kas ir atbilstoši EK regulas 2023/1676 nosacījumiem.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skaidro, ka dienas likmes piemērošanā nebūtu jāpiemēro citi nosacījumi nekā mēneša likmes piemērošanas gadījumā, jo tā tiks piemērota tikai nepilna mēneša gadījumā, t.i. uzsākot, vai izbeidzot pakalpojuma sniegšanu. Ja personai mēneša likmes ietvaros grupu mājā tiek sniegts individuāls 5 stundas dienā, tas nevar mainīties tikai tāpēc, ka atsevišķām pakalpojuma sniegšanas dienām piemēro dienas likmi. Šāda nosacījuma paredzēšana faktiski nozīmētu, ka dienas likme vispār nav piemērojama. Plānojot mēneša likmes piemērošanu, LM balstījās uz pieņēmumu, ka mēneša likmes aprēķins pamatojas uz 160 kontaktstundām, t.i. 8 stundas dienā x 20 dienas mēnesī, savukārt grupu dzīvoklī pakalpojumu sniedz arī brīvdienās, tātad 30 dienas nedēļā. Attiecīgi, ja 160- kontakstundas izdala ar 30 dienām, tad vidēji dienā sanāk 5,3 stundas. Identisks regulējums ir paredzēts MK noteikumos par šī pasākuma 1.kārtu un pie vienādām darbībām nosacījumiem nebūtu jāatšķiras.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sadaļā "Risinājuma apraksts" papildināt dienas aprūpes pakalpojuma komponenšu sarakstu ar KOMISIJAS DELEĢĒTĀS REGULAS (ES) 2023/1676 6.1.punktā noteikto dienas aprūpes pakalpojuma ietvaros obligāti nodrošināmo darbību — "īslaicīga aprūpe", ņemot vērā, ka palīdzība pašaprūpē nav tas pats, kas aprūpe.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 norādot, ka pakalpojuma saņemšanas laikā, pakalpojuma sniedzējs aprūpes procesā aizstāj personas ģimenes vai mājsaimniecības locekļus, nodrošinot īslaicīgo aprūpi jeb atelpas brīdi.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gadījumā, ja viena un tā pati persona jau saņem pakalpojumu grupu mājā par pilnu mēnesi vai dienu, vienlaikus tajā pašā laikā var apmeklēt un saņemt pakalpojumu par pilnu dienu dienas aprūpes centrā, vai neveidosies dubultais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skaidro, ka grupu dzīvokļa pakalpojumā, kaut arī to finansēs pēc mēneša likmes, personai tiks uzskaitītas individuālā atbalsta stundas, un tās nevar pārklāties ar stundām, kuras cilvēks pavadīs dienas aprūpes centrā. Līdz ar to nav pretrunu tajā, ka cilvēks dzīvo un saņem pakalpojumu grupu mājā, bet vienlaikus var saņem arī dienas aprūpes centra pakalpojumu, ja mērķa grupas personas individuālo vajadzību izvērtējums to paredz. Ja cilvēks apmeklē dienas aprūpes centru, viņam papildus var būt nepieciešamas atbalsts rīta, vakara un nakts stundās, tai skaitā nokļūšanai uz/ no dienas aprūpes centra, kas tiek nodrošināts grupu dzīvokļa pakalpojuma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sadaļā "Risinājuma apraksts" attiecībā uz atbalstāmo darbību "Individuālo vajadzību izvērtēšana un atbalsta plāna izstrāde" lūdzam skaidrot, kādas prasības tiek izvirītas tiem, kuri veiks projektā iesaistāmo mērķa grupas personu individuālo vajadzību izvērtējumu.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skaidro, ka individuālo vajadzību izvērtējums ir veicams atbilstoši vispārējam regulējumam sociālo pakalpojumu sniegšanas jomā – Soiālo pakalpojumu un sociālās palīdzības likuma 4. panta pirmajā daļā noteiktajam pamatprincipam, ka sociālos pakalpojumus sniedz, tikai pamatojoties uz sociālā darba speciālista veiktu personas individuālo vajadzību un resursu novērtējumu, un minētajam likumam pakārtotajiem MK noteikumiem - Ministru kabineta 2017. gada 13. jūnija noteikumiem Nr. 338 “Prasības sociālo pakalpojumu sniedzējiem” un Ministru kabineta 2019. gada 2. aprīļa noteikumi Nr. 138 “Noteikumi par sociālo pakalpojumu saņemšanu”.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sadaļā "Risinājuma apraksts" lūdzam papildināt 4.3.5.1.pasākuma 2.kārtas sabiedrības grupas, kam tiek plānots atbalsts, t.i. aiz vārdiem "personām ar invaliditāti" papildus norādīt "personas pensijas vecumā, kuras objektīvu apstākļu dēļ nevar sevi aprūpēt (noteikts pirmais, otrais, trešais vai ceturtais aprūpes līmenis)" vai arī atbilstoši precizēt MK noteikumu 3.3.punktā noteikto mērķa grupu uz personām pensijas vecumā, kurām ir noteikta invaliditāte.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anotācijā minēto "Tāpat “shēma” kalpo vienīgi sociālam mērķim un nodrošinātie </w:t>
            </w:r>
            <w:r w:rsidR="00000000" w:rsidRPr="00000000" w:rsidDel="00000000">
              <w:rPr>
                <w:u w:val="single"/>
                <w:rtl w:val="0"/>
              </w:rPr>
              <w:t xml:space="preserve">pakalpojumu nav atkarīgi no personas veiktajiem maksājumiem</w:t>
            </w:r>
            <w:r w:rsidR="00000000" w:rsidRPr="00000000" w:rsidDel="00000000">
              <w:rPr>
                <w:rtl w:val="0"/>
              </w:rPr>
              <w:t xml:space="preserve">, jo pakalpojuma ietvaros vienādi nodrošina personas pamatvajadzību apmierināšanu</w:t>
            </w:r>
            <w:r w:rsidR="00000000" w:rsidRPr="00000000" w:rsidDel="00000000">
              <w:rPr>
                <w:u w:val="single"/>
                <w:rtl w:val="0"/>
              </w:rPr>
              <w:t xml:space="preserve"> neatkarīgi no personas līdzmaksājuma apmēra</w:t>
            </w:r>
            <w:r w:rsidR="00000000" w:rsidRPr="00000000" w:rsidDel="00000000">
              <w:rPr>
                <w:rtl w:val="0"/>
              </w:rPr>
              <w:t xml:space="preserve">", lūdzam skaidrot, vai mērķa grupas personai, kas projekta ietvaros saņems sociālos pakalpojumus, būs jāveic līdzmaksājums. Vēršam uzmanību, ka tādā gadījumā veidosies dubultais finansējums, t.i., pakalpojums tiks dubultā apmaksāts (gan no projekta līdzekļiem no likmes, kurā ir ietvertas visas ar pakalpojuma sniegšanu saistītās izmaksas, gan pakalpojumu saņēmušās personas pilnībā vai daļēji apmaksāts).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skaidro, ka  4.3.5.1. pasākuma 2. kārtas projekta īstenošanas laikā mērķa grupām nav jāveic līdzmaksājums par pakalpojumu nodrošināšanu. Vienīgais izņēmums ir grupu dzīvokļa pakalpojumus, kurā  saskaņā ar Ministru kabineta 2007.gada 4.decembra noteikumu Nr.829 “Noteikumi par dienas centru, grupu māju (dzīvokļu) un pusceļa māju izveidošanas un uzturēšanas izdevumu līdzfinansēšanu” 22. punktu grupu dzīvokļa klienta pienākums ir samaksāt pakalpojuma sniedzējam par dzīvojamās telpas, virtuves un koplietošanas telpu ekspluatāciju jeb komunālos maksājumus (atbilstoši lietojamajai daļai), kādus personai rastos arī dzīvojot parastā mājoklī. Taču šos komunālos maksājumus nevar uzskatīt par pakalpojuma izmaksām, un tās nav ietveras grupu dzīvokļa pakalpojuma vienas vienības izmaksās. Visas pārējās ar pakalpojumu sniegšanu saistītās izmaksas ir jāfinansē pašvaldībai (šajā gadījumā no projekta vienas vienības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Centrālās finanšu un līgumu aģentūras pienākums veikt sadarbības iestādes funkcijas izriet no Eiropas Savienības fondu 2021.—2027. gada plānošanas perioda vadības likuma 12. panta un citiem horizontālajiem normatīvajiem aktiem. Ievērojot minēto, lūdzam svītrot anotācijas 2.1. sadaļas apakšsadaļā "Juridiskās personas" un atbilstošajā apakšsadaļā "Ietekmes apraksts" informāciju par Centrālo finanšu un līgumu aģentūru.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6.punktā aizstāt vārdus “nacionālā attiecināmā līdzfinansējuma” ar vārdiem “valsts budžeta līdzfinansējuma”. Skaidrojam, ka avansa un starpposma maksājumu kopsummu aprēķina no projektam piešķirtā finansējuma summas. T.i., ja projektā līdzfinansējums tiek nodrošināts no valsts budžeta, tad avansa un starpposma maksājumu kopsummu rēķina no projektam piešķirtā Eiropas Savienības fonda finansējuma un valsts budžeta līdzfinansējuma kopsummas. Savukārt, ja līdzfinansējums jānodrošina pašam finansējuma saņēmējam no pašvaldības budžeta, tad avansa un starpposma maksājumu kopsummu rēķina tikai no projektam piešķirtā Eiropas Savienības fonda finansējuma.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arī teikuma daļā</w:t>
            </w:r>
            <w:r w:rsidR="00000000" w:rsidRPr="00000000" w:rsidDel="00000000">
              <w:rPr>
                <w:i w:val="1"/>
                <w:rtl w:val="0"/>
              </w:rPr>
              <w:t xml:space="preserve"> "maksimālais avansa maksājumu apjoms ir 30% no projekta ESF+ un valsts budžeta </w:t>
            </w:r>
            <w:r w:rsidR="00000000" w:rsidRPr="00000000" w:rsidDel="00000000">
              <w:rPr>
                <w:i w:val="1"/>
                <w:u w:val="single"/>
                <w:rtl w:val="0"/>
              </w:rPr>
              <w:t xml:space="preserve">vai pašvaldību budžeta</w:t>
            </w:r>
            <w:r w:rsidR="00000000" w:rsidRPr="00000000" w:rsidDel="00000000">
              <w:rPr>
                <w:i w:val="1"/>
                <w:rtl w:val="0"/>
              </w:rPr>
              <w:t xml:space="preserve"> finansējuma</w:t>
            </w:r>
            <w:r w:rsidR="00000000" w:rsidRPr="00000000" w:rsidDel="00000000">
              <w:rPr>
                <w:rtl w:val="0"/>
              </w:rPr>
              <w:t xml:space="preserve">" svītrot vārdus “vai pašvaldību budžeta”.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Teikumu "...nodrošinot avansa un starpposma maksājumu kopsummu 90 procentu apmērā no projekta apstiprinātā ESF+ attiecināmā finansējuma" lūdzam papildināt ar vārdiem “un valsts budžeta finansējuma kopējās summas”.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Projekta izstrādē iesaistītās institūcijas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sadaļu "Nevalstiskās organizācijas" ar informāciju par biedrību un nodibinājumu iesaisti, nevalstisko organizāciju iesaisti MK noteikumu projekta izstrādē, lai nodrošinātu atbilstību Ministru prezidenta rezolūcijā* noteiktajam vai skaidrot, kāpēc iesaiste nav iespējama.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Ministru prezidenta 2021. gada 7. septembra rezolūciju Nr. 2021-1.1.1./50-50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"Izstrādājot specifisko atbalsta mērķu un to pasākumu ieviešanas nosacījumus Eiropas Savienības fondu 2021.—2027.gada plānošanas perioda atbalsta saņemšanai institūcijas atbildībā esošajās jomās, lūdzu jēgpilni iesaistīt attiecīgajā jomā strādājošās biedrības un nodibinājumus. Pēc specifisko atbalsta mērķu un to pasākumu ieviešanas nosacījumu apstiprināšanas Ministru kabinetā, lūdzu sagatavot un sniegt informāciju par sabiedrības pārstāvju iesaisti normatīvā regulējuma izstrādē Nevalstisko organizāciju un Ministru kabineta sadarbības memoranda īstenošanas padomes sekretariātam (uz e-pastu: nvo@mk.gov.lv)."</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Projekta izstrādē iesaistītās institūcijas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2022. gada 13. decembra sēdes protokollēmumam (prot. Nr. 64 6. § 3. punkts) </w:t>
            </w:r>
            <w:r w:rsidR="00000000" w:rsidRPr="00000000" w:rsidDel="00000000">
              <w:rPr>
                <w:i w:val="1"/>
                <w:rtl w:val="0"/>
              </w:rPr>
              <w:t xml:space="preserve">ministrijām, izstrādājot Ministru kabineta noteikumu projektus par specifisko atbalsta mērķu īstenošanu, izvērtēt un, ja attiecināms, nodrošināt tiesisko ietvaru, kā arī tehnisko mehānismu, kādā finansējuma saņēmējs var pārbaudīt mērķa grupas dalībnieka atbilstību dalībai projektā, jo īpaši attiecībā uz fizisko personu datiem, kas reģistrēti valsts informācijas sistēmās un projekta īstenošanas laikā valsts informācijas sistēmās var tikt aktualizēti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papildināt anotāciju ar informāciju par to, kādā veidā tiks veikta pārbaude par personas atbilstību mērķa grupai (piemēram, tiks uzrādīti personu apliecinoši dokumenti).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projekta 11. punkts papildināts ar nosacījumu, ka projektā var iesaistīt tikai tādas mērķa grupas personas, par kurām ir pieņemts attiecīgas pašvaldības sociālā dienesta lēmums par projektā plānoto sabiedrībā balstītu sociālo pakalpojumu piešķiršanu. Attiecīgi tiks nodrošināts, ka projektā tiek iesaistītas atbilstošas mērķa grupas personas.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24-TA-784</w:t>
    </w:r>
    <w:r>
      <w:br/>
    </w:r>
    <w:r w:rsidR="00000000" w:rsidRPr="00000000" w:rsidDel="00000000">
      <w:rPr>
        <w:rtl w:val="0"/>
      </w:rPr>
      <w:t xml:space="preserve">19.08.2024. 08.41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24-TA-784</w:t>
    </w:r>
    <w:r>
      <w:br/>
    </w:r>
    <w:r w:rsidR="00000000" w:rsidRPr="00000000" w:rsidDel="00000000">
      <w:rPr>
        <w:rtl w:val="0"/>
      </w:rPr>
      <w:t xml:space="preserve">19.08.2024. 08.41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Izziņa_24-TA-784.docx</dc:title>
</cp:coreProperties>
</file>

<file path=docProps/custom.xml><?xml version="1.0" encoding="utf-8"?>
<Properties xmlns="http://schemas.openxmlformats.org/officeDocument/2006/custom-properties" xmlns:vt="http://schemas.openxmlformats.org/officeDocument/2006/docPropsVTypes"/>
</file>