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22-TA-2163: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decembra noteikumos Nr. 812 "Oficiālās statistikas veidlapu paraugu apstiprināšanas un veidlapu aizpildīšanas un iesniegšanas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Izteikt 16. pielikumu jaunā redakcijā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3.pielikums (kas paredz izteikt jaunā redakcijā noteikumu 16. pielikumu), paredz ieviest jaunas daļas/ailes tajās norādot informāciju par datu izmantošanu, koplietošanu, analītiku un tirdzniecību. Lūdzam projekta anotācijā sniegt izvērstāku pamatojumu minētās informācijas nepieciešamībai/norādīšanai.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sniegts izvērstāks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risinājuma aprakstā pilnīgāk skaidrot noteikumos un tā pielikumos (veidlapās) veiktās izmaiņas. Piemēram, risinājuma apraksta 5. punktā skaidrotas izmaiņas attiecīgajā veidlapā, taču tās tiek skaidrotas daļēji (piemēram, nav minēts, ka tiek svītrotas arī vairākas sadaļas (C.-F. sadaļas), pievienota jauna D. sadaļa). Arī risinājuma apraksta 14. punktā veidlapā veiktās izmaiņas skaidrotas tikai daļēji. Savukārt, piemēram, risinājuma apraksta 7. punktā nav skaidrots, kādas tieši izmaiņas veiktas, kā arī nav skaidrots, vai un no kāda tiesību akta tās izriet (sk. arī risinājuma apraksta 12., 16., 26., 29. u.c.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pilnīgāk pamatot veiktās izmaiņas, tostarp arī skaidrojot, vai veidlapās veiktās izmaiņas (sk., piemēram, risinājuma apraksta 10., 11. punktu) atbilst attiecīgo Eiropas Savienības tiesību aktu prasībām. Piemēram, attiecībā uz noteikumu projekta 1. un 29. punkta skaidrojumu anotācijā (risinājuma apraksta 1. punkts) lūdzam papildināt anotāciju un skaidrot, vai vairāku tabulu (piemēram, 17. un 18. tabulas) svītrošana atbilst Komisijas 2013. gada 23. septembra Regulas (ES) Nr. 912/2013  I pielikumam (sk., piemēram, sadaļu "Dati par izglītības izdevumiem un izglītojamo skaitu (ar aptvērumu, kas pielāgots statistikai par izglītības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Vairākās vietās anotācijā, skaidrojot konkrētus noteikumu projekta punktus (sk., piemēram, risinājuma apraksta 3. un 4. punktu), tiek minēts, ka, kaut arī noteikumu attiecīgā vienība tiek papildināta ar regulu, kas pamato datu vākšanu, veidlapā grozījumu veikšana nav nepieciešama. Lūdzam skaidrot, kādēļ grozījumu veikšana nav nepieciešama, tostarp skaidrojot, vai veidlapa aptver nepieciešamo datu, kurus vākt paredz attiecīgā Eiropas Savienības regula, vākšanu. Līdzīgi lūdzam arī pamatot konkrētu veidlapu svītrošanu, tostarp skaidrojot atbilstību Eiropas Savienības regulu prasībām, ja tās attiecīgajās noteikumu vienībās minētas un ir joprojām spēkā (sk., piemēram, risinājuma apraksta 27. un 28.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risinājuma apraksta 13. punktā lūdzam konkrēti minēt, no kāda Eiropas Savienības tiesību akta izriet nepieciešamās izmaiņas (saistībā ar minēto aicinām izvērtēt arī nepieciešamību veikt izmaiņas noteikumu 2.67.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un MK noteikumu projekts papildināts ar 8.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Vairākos risinājuma apraksta punktos (sk., piemēram, 19., 20., 29. punktu) minētas Eurostat prasības un regulējumi. Aicinām pēc iespējas minēt konkrētus dokumentus, no kuriem izriet minētās prasības, kā arī konkretizēt prasības, kādas veidlapās ieviestas.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skaidrot anotācijas 1.3. sadaļas risinājuma apraksta 9. punktā minētās veidlapas izmaiņas (pievienota sadaļa par pasažieru pārvadājumiem) kontekstā ar anotācijā minēto, ka "Lietuvas NUTS 2 līmenī ir 2 reģioni". Papildus vēršam uzmanību, ka veidlapas 4. sadaļā ir tukšas ailes, attiecīgi lūdzam nepieciešamības gadījumā precizēt veidlapu.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anotācijas 1.3. sadaļa un MK noteikumu projekta 7.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anotācijas 5. sadaļas 1. tabulā precizēt pārņemto Komisijas 2021. gada 27. aprīļa Deleģētā lēmuma (ES) Nr. 2021/1167 pielikuma apakšvienību. Aicinām izvērtēt un, ja nepieciešams, konkretizēt arī citu Eiropas Savienības tiesību aktu pārņemtās vai ieviestās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sadaļas 1. tabulā, kur nepieciešams, precizētas pārņemto tiesību aktu apakšvienības.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veidlapa Nr. 2-EU-SILC "Statistika par ienākumiem un dzīves apstākļiem", kura nodrošina arī Eiropas Parlamenta un Padomes Regulas Nr. </w:t>
            </w:r>
            <w:r w:rsidR="00000000" w:rsidRPr="00000000" w:rsidDel="00000000">
              <w:rPr>
                <w:rtl w:val="0"/>
              </w:rPr>
              <w:t xml:space="preserve">2019/1700</w:t>
            </w:r>
            <w:r w:rsidR="00000000" w:rsidRPr="00000000" w:rsidDel="00000000">
              <w:rPr>
                <w:rtl w:val="0"/>
              </w:rPr>
              <w:t xml:space="preserve"> un Komisijas Īstenošanas regulas Nr. </w:t>
            </w:r>
            <w:r w:rsidR="00000000" w:rsidRPr="00000000" w:rsidDel="00000000">
              <w:rPr>
                <w:rtl w:val="0"/>
              </w:rPr>
              <w:t xml:space="preserve">2019/2242</w:t>
            </w:r>
            <w:r w:rsidR="00000000" w:rsidRPr="00000000" w:rsidDel="00000000">
              <w:rPr>
                <w:rtl w:val="0"/>
              </w:rPr>
              <w:t xml:space="preserve"> prasību piemērošanu (</w:t>
            </w:r>
            <w:r w:rsidR="00000000" w:rsidRPr="00000000" w:rsidDel="00000000">
              <w:rPr>
                <w:rtl w:val="0"/>
              </w:rPr>
              <w:t xml:space="preserve">111.</w:t>
            </w:r>
            <w:r w:rsidR="00000000" w:rsidRPr="00000000" w:rsidDel="00000000">
              <w:rPr>
                <w:rtl w:val="0"/>
              </w:rPr>
              <w:t xml:space="preserve"> 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jaunā redakcijā izteiktajā noteikumu 2.111. apakšpunktā svītrota atsauce uz Komisijas Regulu Nr. 1983/2003.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ir atcelta pamatojoties uz Eiropas Parlamenta un Padomes 2019. gada 10. oktobra Regulas (ES) Nr. 2019/1700, ar ko izveido vienotu ietvaru Eiropas statistikai par personām un mājsaimniecībām, kuras pamatā ir no izlasēm savākti dati individuālā līmenī, ar ko groza Eiropas Parlamenta un Padomes Regulas (EK) Nr. 808/2004, (EK) Nr. 452/2008 un (EK) Nr. 1338/2008 un ar ko atceļ Eiropas Parlamenta un Padomes Regulu (EK) Nr. 1177/2003 un Padomes Regulu (EK) Nr. 577/98  35.punktu. Tas nozīmē arī regulas 1983/2003 atcelšanu, jo šī regula tika izveidota, ņemot vērā Eiropas Parlamenta un Padomes Regulas (EK) Nr. 1177/2003 15.panta 2. punkta a)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veidlapa Nr. 2-EU-SILC "Statistika par ienākumiem un dzīves apstākļiem", kura nodrošina arī Eiropas Parlamenta un Padomes Regulas Nr. </w:t>
            </w:r>
            <w:r w:rsidR="00000000" w:rsidRPr="00000000" w:rsidDel="00000000">
              <w:rPr>
                <w:rtl w:val="0"/>
              </w:rPr>
              <w:t xml:space="preserve">2019/1700</w:t>
            </w:r>
            <w:r w:rsidR="00000000" w:rsidRPr="00000000" w:rsidDel="00000000">
              <w:rPr>
                <w:rtl w:val="0"/>
              </w:rPr>
              <w:t xml:space="preserve"> un Komisijas Īstenošanas regulas Nr. </w:t>
            </w:r>
            <w:r w:rsidR="00000000" w:rsidRPr="00000000" w:rsidDel="00000000">
              <w:rPr>
                <w:rtl w:val="0"/>
              </w:rPr>
              <w:t xml:space="preserve">2019/2242</w:t>
            </w:r>
            <w:r w:rsidR="00000000" w:rsidRPr="00000000" w:rsidDel="00000000">
              <w:rPr>
                <w:rtl w:val="0"/>
              </w:rPr>
              <w:t xml:space="preserve"> prasību piemērošanu (</w:t>
            </w:r>
            <w:r w:rsidR="00000000" w:rsidRPr="00000000" w:rsidDel="00000000">
              <w:rPr>
                <w:rtl w:val="0"/>
              </w:rPr>
              <w:t xml:space="preserve">111.</w:t>
            </w:r>
            <w:r w:rsidR="00000000" w:rsidRPr="00000000" w:rsidDel="00000000">
              <w:rPr>
                <w:rtl w:val="0"/>
              </w:rPr>
              <w:t xml:space="preserve"> 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2.163. veidlapa Nr. 2-DSA (2023) “Pensija un dalība darba tirgū", kura nodrošina arī Komisijas Īstenošanas Regulas Nr. 2020/1642 prasību piemērošanu (</w:t>
            </w:r>
            <w:r w:rsidR="00000000" w:rsidRPr="00000000" w:rsidDel="00000000">
              <w:rPr>
                <w:rtl w:val="0"/>
              </w:rPr>
              <w:t xml:space="preserve">163.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jaunajā noteikumu 2.163. apakšpunktā ievietot atsauci ne tikai uz Komisijas 2020. gada 5. novembra Īstenošanas regulu (ES) Nr. 2020/1642, bet arī Eiropas Parlamenta un Padomes 2019. gada 10. oktobra Regulu (ES) 2019/1700. Salīdzinājumam lūdzam sk., piemēram, noteikumu 2.158. apakšpunktu, kur ievietotas atsauces uz abām regulām.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28. punkts un pievienota atsauce uz Regulu Nr. 2019/1700.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2.163. veidlapa Nr. 2-DSA (2023) “Pensija un dalība darba tirgū", kura nodrošina arī Eiropas Parlamenta un Padomes Regulas Nr. 2019/1700 un Komisijas Īstenošanas Regulas Nr. 2020/1642 prasību piemērošanu (</w:t>
            </w:r>
            <w:r w:rsidR="00000000" w:rsidRPr="00000000" w:rsidDel="00000000">
              <w:rPr>
                <w:rtl w:val="0"/>
              </w:rPr>
              <w:t xml:space="preserve">163. </w:t>
            </w:r>
            <w:r w:rsidR="00000000" w:rsidRPr="00000000" w:rsidDel="00000000">
              <w:rPr>
                <w:rtl w:val="0"/>
              </w:rPr>
              <w:t xml:space="preserve">pielikums</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22-TA-2163</w:t>
    </w:r>
    <w:r>
      <w:br/>
    </w:r>
    <w:r w:rsidR="00000000" w:rsidRPr="00000000" w:rsidDel="00000000">
      <w:rPr>
        <w:rtl w:val="0"/>
      </w:rPr>
      <w:t xml:space="preserve">26.10.2022. 16.05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22-TA-2163</w:t>
    </w:r>
    <w:r>
      <w:br/>
    </w:r>
    <w:r w:rsidR="00000000" w:rsidRPr="00000000" w:rsidDel="00000000">
      <w:rPr>
        <w:rtl w:val="0"/>
      </w:rPr>
      <w:t xml:space="preserve">26.10.2022. 16.05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Izziņa_22-TA-2163.docx</dc:title>
</cp:coreProperties>
</file>

<file path=docProps/custom.xml><?xml version="1.0" encoding="utf-8"?>
<Properties xmlns="http://schemas.openxmlformats.org/officeDocument/2006/custom-properties" xmlns:vt="http://schemas.openxmlformats.org/officeDocument/2006/docPropsVTypes"/>
</file>