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23-TA-21: Noteikumu projekts starptautiskā līguma apstiprināšanai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Pasta maksājumu pakalpojumu reglamentu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Pasta maksājumu pakalpojumu reglaments stājas spēkā tā RP 2901. pantā noteiktajā kārtībā. Līdz ar noteikumiem publicējams Pasta maksājumu pakalpojumu reglaments angļu valodā un tā tulkojums latviešu valodā.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normatīvā akta atpakaļejoša spēka riskus, lūdzam svītrot noteikumu projekta 3.punkta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problēmjautājumu un piemērojamiem risinājumiem nepieciešamības gadījumā lūdzam skatīt Valsts iestāžu juridisko dienestu vadītāju 2018. gada 13. decembra sanāksmes protokola Nr. 3 2. § 1.punktu un tam pievienoto prezentāciju.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3.punktā ir svītrots pirmais teikums, lai novērstu normatīvā akta atpakaļejoša spēka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noteikumiem publicējams Pasta maksājumu pakalpojumu reglaments angļu valodā un tā tulkojums latviešu valodā.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Maksājumu pakalpojumu un elektroniskās naudas likuma 4.panta pirmajai daļai redakcijā, kas spēkā no 2023.gada 1.janvāra, licencēšanu veic Latvijas Banka.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maksājumu pakalpojumus drīkst sniegt, ja MPENL noteiktajā kārtībā saņemta </w:t>
            </w:r>
            <w:r w:rsidR="00000000" w:rsidRPr="00000000" w:rsidDel="00000000">
              <w:rPr>
                <w:u w:val="single"/>
                <w:rtl w:val="0"/>
              </w:rPr>
              <w:t xml:space="preserve">Latvijas Bankas</w:t>
            </w:r>
            <w:r w:rsidR="00000000" w:rsidRPr="00000000" w:rsidDel="00000000">
              <w:rPr>
                <w:rtl w:val="0"/>
              </w:rPr>
              <w:t xml:space="preserve"> licence, vai iestāde reģistrēta.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punktā ir precizēta norāde uz institūciju, kura izsniedz licenci maksājumu iestādes darbībai,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maksājumu pakalpojumus drīkst sniegt, ja MPENL noteiktajā kārtībā saņemta Latvijas Bankas licence, vai iestāde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 gada 31. decembrim licences maksājumu iestādes darbībai izsniedza Finanšu un kapitāla tirgus komisija. Saskaņā ar Latvijas Bankas likuma, kas ir spēkā no 2023. gada 1. janvāra, pārejas noteikumu 4. punktu, Latvijas Banka ir Finanšu un kapitāla tirgus komisijas mantas, finanšu līdzekļu, tiesību un saistību pārņēmēja. Atbilstoši šī likuma pārejas noteikumu 2. punkta 1. apakšpunktam līdz attiecīgu grozījumu izdarīšanai citos normatīvajos aktos, tajos lietotais nosaukums "Finanšu un kapitāla tirgus komisija" atbilst šajā likumā lietotajam nosaukumam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w:t>
    </w:r>
    <w:r>
      <w:br/>
    </w:r>
    <w:r w:rsidR="00000000" w:rsidRPr="00000000" w:rsidDel="00000000">
      <w:rPr>
        <w:rtl w:val="0"/>
      </w:rPr>
      <w:t xml:space="preserve">08.02.2023. 11.34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w:t>
    </w:r>
    <w:r>
      <w:br/>
    </w:r>
    <w:r w:rsidR="00000000" w:rsidRPr="00000000" w:rsidDel="00000000">
      <w:rPr>
        <w:rtl w:val="0"/>
      </w:rPr>
      <w:t xml:space="preserve">08.02.2023. 11.34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Izziņa_23-TA-21.docx</dc:title>
</cp:coreProperties>
</file>

<file path=docProps/custom.xml><?xml version="1.0" encoding="utf-8"?>
<Properties xmlns="http://schemas.openxmlformats.org/officeDocument/2006/custom-properties" xmlns:vt="http://schemas.openxmlformats.org/officeDocument/2006/docPropsVTypes"/>
</file>