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2997" w14:textId="77777777" w:rsidR="00804644" w:rsidRPr="004A2FBA" w:rsidRDefault="00395E0C" w:rsidP="00F1653A">
      <w:pPr>
        <w:pStyle w:val="Galvene"/>
        <w:jc w:val="center"/>
        <w:rPr>
          <w:lang w:val="lv-LV"/>
        </w:rPr>
      </w:pPr>
      <w:r>
        <w:rPr>
          <w:lang w:val="lv-LV"/>
        </w:rPr>
        <w:pict w14:anchorId="71589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25pt;height:81.75pt">
            <v:imagedata r:id="rId7" o:title="VG_liels_vienkarsots_vienkrasu"/>
          </v:shape>
        </w:pict>
      </w:r>
    </w:p>
    <w:p w14:paraId="1EED5B93" w14:textId="77777777" w:rsidR="00804644" w:rsidRDefault="00804644" w:rsidP="00F1653A">
      <w:pPr>
        <w:pStyle w:val="Galvene"/>
        <w:jc w:val="center"/>
        <w:rPr>
          <w:rFonts w:ascii="Times New Roman" w:hAnsi="Times New Roman"/>
          <w:sz w:val="26"/>
          <w:szCs w:val="26"/>
          <w:lang w:val="lv-LV"/>
        </w:rPr>
      </w:pPr>
      <w:r w:rsidRPr="00207BBF">
        <w:rPr>
          <w:rFonts w:ascii="Times New Roman" w:hAnsi="Times New Roman"/>
          <w:sz w:val="26"/>
          <w:szCs w:val="26"/>
          <w:lang w:val="lv-LV"/>
        </w:rPr>
        <w:t>L</w:t>
      </w:r>
      <w:r w:rsidR="00207BBF">
        <w:rPr>
          <w:rFonts w:ascii="Times New Roman" w:hAnsi="Times New Roman"/>
          <w:sz w:val="26"/>
          <w:szCs w:val="26"/>
          <w:lang w:val="lv-LV"/>
        </w:rPr>
        <w:t>atvijas Republikas tiesībsargs</w:t>
      </w:r>
    </w:p>
    <w:p w14:paraId="12DEE874" w14:textId="77777777" w:rsidR="00F25A26" w:rsidRPr="00207BBF" w:rsidRDefault="00F25A26" w:rsidP="00F1653A">
      <w:pPr>
        <w:pStyle w:val="Galvene"/>
        <w:spacing w:before="100"/>
        <w:jc w:val="center"/>
        <w:rPr>
          <w:rFonts w:ascii="Times New Roman" w:hAnsi="Times New Roman"/>
          <w:sz w:val="26"/>
          <w:szCs w:val="26"/>
          <w:lang w:val="lv-LV"/>
        </w:rPr>
      </w:pPr>
      <w:r w:rsidRPr="00F1653A">
        <w:rPr>
          <w:rFonts w:ascii="Times New Roman" w:hAnsi="Times New Roman"/>
          <w:sz w:val="28"/>
          <w:szCs w:val="28"/>
          <w:lang w:val="lv-LV"/>
        </w:rPr>
        <w:pict w14:anchorId="415966C3">
          <v:rect id="_x0000_i1025" style="width:362.85pt;height:1pt" o:hrpct="800" o:hralign="center" o:hrstd="t" o:hrnoshade="t" o:hr="t" fillcolor="black" stroked="f"/>
        </w:pict>
      </w:r>
    </w:p>
    <w:p w14:paraId="0C8859A6" w14:textId="77777777" w:rsidR="00804644" w:rsidRPr="00F1653A" w:rsidRDefault="00F25A26" w:rsidP="004B2CB9">
      <w:pPr>
        <w:pStyle w:val="Galvene"/>
        <w:spacing w:before="180" w:after="240"/>
        <w:jc w:val="center"/>
        <w:rPr>
          <w:rFonts w:ascii="Times New Roman" w:hAnsi="Times New Roman"/>
          <w:sz w:val="17"/>
          <w:szCs w:val="17"/>
          <w:lang w:val="lv-LV"/>
        </w:rPr>
      </w:pPr>
      <w:r w:rsidRPr="00F1653A">
        <w:rPr>
          <w:rFonts w:ascii="Times New Roman" w:hAnsi="Times New Roman"/>
          <w:sz w:val="17"/>
          <w:szCs w:val="17"/>
          <w:lang w:val="lv-LV"/>
        </w:rPr>
        <w:t>Baznīcas iela 25, Rīga, LV-1010</w:t>
      </w:r>
      <w:r w:rsidR="00F1653A" w:rsidRPr="00F1653A">
        <w:rPr>
          <w:rFonts w:ascii="Times New Roman" w:hAnsi="Times New Roman"/>
          <w:sz w:val="17"/>
          <w:szCs w:val="17"/>
          <w:lang w:val="lv-LV"/>
        </w:rPr>
        <w:t>, t</w:t>
      </w:r>
      <w:r w:rsidRPr="00F1653A">
        <w:rPr>
          <w:rFonts w:ascii="Times New Roman" w:hAnsi="Times New Roman"/>
          <w:sz w:val="17"/>
          <w:szCs w:val="17"/>
          <w:lang w:val="lv-LV"/>
        </w:rPr>
        <w:t>ālr.: 67686768</w:t>
      </w:r>
      <w:r w:rsidR="00F1653A" w:rsidRPr="00F1653A">
        <w:rPr>
          <w:rFonts w:ascii="Times New Roman" w:hAnsi="Times New Roman"/>
          <w:sz w:val="17"/>
          <w:szCs w:val="17"/>
          <w:lang w:val="lv-LV"/>
        </w:rPr>
        <w:t>, e</w:t>
      </w:r>
      <w:r w:rsidRPr="00F1653A">
        <w:rPr>
          <w:rFonts w:ascii="Times New Roman" w:hAnsi="Times New Roman"/>
          <w:sz w:val="17"/>
          <w:szCs w:val="17"/>
          <w:lang w:val="lv-LV"/>
        </w:rPr>
        <w:t xml:space="preserve">-pasts: </w:t>
      </w:r>
      <w:r w:rsidR="00F1653A" w:rsidRPr="00F1653A">
        <w:rPr>
          <w:rFonts w:ascii="Times New Roman" w:hAnsi="Times New Roman"/>
          <w:sz w:val="17"/>
          <w:szCs w:val="17"/>
          <w:lang w:val="lv-LV"/>
        </w:rPr>
        <w:t>tiesibsargs@tiesibsargs.lv, www.tiesibsargs.lv</w:t>
      </w:r>
    </w:p>
    <w:p w14:paraId="65E3EEEC" w14:textId="77777777" w:rsidR="00BE4AC1" w:rsidRDefault="00BE4AC1" w:rsidP="004B2CB9">
      <w:pPr>
        <w:pStyle w:val="Galvene"/>
        <w:spacing w:after="240"/>
        <w:jc w:val="center"/>
        <w:rPr>
          <w:rFonts w:ascii="Times New Roman" w:hAnsi="Times New Roman"/>
          <w:sz w:val="26"/>
          <w:szCs w:val="26"/>
          <w:lang w:val="lv-LV"/>
        </w:rPr>
      </w:pPr>
      <w:r w:rsidRPr="00C831D9">
        <w:rPr>
          <w:rFonts w:ascii="Times New Roman" w:hAnsi="Times New Roman"/>
          <w:sz w:val="26"/>
          <w:szCs w:val="26"/>
          <w:lang w:val="lv-LV"/>
        </w:rPr>
        <w:t>Rī</w:t>
      </w:r>
      <w:r>
        <w:rPr>
          <w:rFonts w:ascii="Times New Roman" w:hAnsi="Times New Roman"/>
          <w:sz w:val="26"/>
          <w:szCs w:val="26"/>
          <w:lang w:val="lv-LV"/>
        </w:rPr>
        <w:t>gā</w:t>
      </w:r>
    </w:p>
    <w:p w14:paraId="7451C7B8" w14:textId="77777777" w:rsidR="00BE4AC1" w:rsidRDefault="00E11847" w:rsidP="00BE4AC1">
      <w:pPr>
        <w:pStyle w:val="Galvene"/>
        <w:rPr>
          <w:rFonts w:ascii="Times New Roman" w:hAnsi="Times New Roman"/>
          <w:sz w:val="26"/>
          <w:szCs w:val="26"/>
          <w:lang w:val="lv-LV"/>
        </w:rPr>
      </w:pPr>
      <w:r w:rsidRPr="00E11847">
        <w:rPr>
          <w:rFonts w:ascii="Times New Roman" w:hAnsi="Times New Roman"/>
          <w:noProof/>
          <w:sz w:val="26"/>
          <w:szCs w:val="26"/>
          <w:lang w:val="lv-LV"/>
        </w:rPr>
        <w:t>Datums skatāms laika zīmogā</w:t>
      </w:r>
      <w:r w:rsidR="00B25F20">
        <w:rPr>
          <w:rFonts w:ascii="Times New Roman" w:hAnsi="Times New Roman"/>
          <w:sz w:val="26"/>
          <w:szCs w:val="26"/>
          <w:lang w:val="lv-LV"/>
        </w:rPr>
        <w:t xml:space="preserve"> Nr.</w:t>
      </w:r>
      <w:r w:rsidR="00BE4AC1">
        <w:rPr>
          <w:rFonts w:ascii="Times New Roman" w:hAnsi="Times New Roman"/>
          <w:sz w:val="26"/>
          <w:szCs w:val="26"/>
          <w:lang w:val="lv-LV"/>
        </w:rPr>
        <w:t xml:space="preserve"> </w:t>
      </w:r>
      <w:r w:rsidRPr="00E11847">
        <w:rPr>
          <w:rFonts w:ascii="Times New Roman" w:hAnsi="Times New Roman"/>
          <w:noProof/>
          <w:sz w:val="26"/>
          <w:szCs w:val="26"/>
          <w:lang w:val="lv-LV"/>
        </w:rPr>
        <w:t>1-8/33</w:t>
      </w:r>
    </w:p>
    <w:p w14:paraId="0067E4F2" w14:textId="77777777" w:rsidR="00BE4AC1" w:rsidRPr="00C831D9" w:rsidRDefault="00BE4AC1" w:rsidP="00913B00">
      <w:pPr>
        <w:pStyle w:val="Galvene"/>
        <w:rPr>
          <w:rFonts w:ascii="Times New Roman" w:hAnsi="Times New Roman"/>
          <w:sz w:val="26"/>
          <w:szCs w:val="26"/>
          <w:lang w:val="lv-LV"/>
        </w:rPr>
      </w:pPr>
      <w:r>
        <w:rPr>
          <w:rFonts w:ascii="Times New Roman" w:hAnsi="Times New Roman"/>
          <w:sz w:val="26"/>
          <w:szCs w:val="26"/>
          <w:lang w:val="lv-LV"/>
        </w:rPr>
        <w:t>Uz</w:t>
      </w:r>
      <w:r w:rsidR="00E11847">
        <w:rPr>
          <w:rFonts w:ascii="Times New Roman" w:hAnsi="Times New Roman"/>
          <w:sz w:val="26"/>
          <w:szCs w:val="26"/>
          <w:lang w:val="lv-LV"/>
        </w:rPr>
        <w:t xml:space="preserve"> </w:t>
      </w:r>
      <w:r w:rsidR="00E11847" w:rsidRPr="00E11847">
        <w:rPr>
          <w:rFonts w:ascii="Times New Roman" w:hAnsi="Times New Roman"/>
          <w:noProof/>
          <w:sz w:val="26"/>
          <w:szCs w:val="26"/>
          <w:lang w:val="lv-LV"/>
        </w:rPr>
        <w:t>30.07.2021</w:t>
      </w:r>
      <w:r w:rsidR="00E11847">
        <w:rPr>
          <w:rFonts w:ascii="Times New Roman" w:hAnsi="Times New Roman"/>
          <w:sz w:val="26"/>
          <w:szCs w:val="26"/>
          <w:lang w:val="lv-LV"/>
        </w:rPr>
        <w:t xml:space="preserve"> </w:t>
      </w:r>
      <w:r w:rsidR="00E11847" w:rsidRPr="00E11847">
        <w:rPr>
          <w:rFonts w:ascii="Times New Roman" w:hAnsi="Times New Roman"/>
          <w:noProof/>
          <w:sz w:val="26"/>
          <w:szCs w:val="26"/>
          <w:lang w:val="lv-LV"/>
        </w:rPr>
        <w:t>1-9.3/860</w:t>
      </w:r>
    </w:p>
    <w:p w14:paraId="2CC6B836" w14:textId="77777777" w:rsidR="00BE4AC1" w:rsidRPr="00913B00" w:rsidRDefault="00A81B74" w:rsidP="00BE4AC1">
      <w:pPr>
        <w:pStyle w:val="Galvene"/>
        <w:jc w:val="right"/>
        <w:rPr>
          <w:rFonts w:ascii="Times New Roman" w:hAnsi="Times New Roman"/>
          <w:b/>
          <w:sz w:val="26"/>
          <w:szCs w:val="26"/>
          <w:lang w:val="lv-LV"/>
        </w:rPr>
      </w:pPr>
      <w:r w:rsidRPr="00A81B74">
        <w:rPr>
          <w:rFonts w:ascii="Times New Roman" w:hAnsi="Times New Roman"/>
          <w:b/>
          <w:noProof/>
          <w:sz w:val="26"/>
          <w:szCs w:val="26"/>
          <w:lang w:val="lv-LV"/>
        </w:rPr>
        <w:t>Tieslietu ministrija</w:t>
      </w:r>
    </w:p>
    <w:p w14:paraId="5E95AE1B" w14:textId="77777777" w:rsidR="00F06F70" w:rsidRDefault="00F06F70" w:rsidP="00F06F70">
      <w:pPr>
        <w:pStyle w:val="Galvene"/>
        <w:jc w:val="right"/>
        <w:rPr>
          <w:rFonts w:ascii="Times New Roman" w:hAnsi="Times New Roman"/>
          <w:bCs/>
          <w:sz w:val="26"/>
          <w:szCs w:val="26"/>
          <w:lang w:val="lv-LV" w:eastAsia="lv-LV"/>
        </w:rPr>
      </w:pPr>
      <w:hyperlink r:id="rId8" w:history="1">
        <w:r w:rsidRPr="00B0476B">
          <w:rPr>
            <w:rStyle w:val="Hipersaite"/>
            <w:rFonts w:ascii="Times New Roman" w:hAnsi="Times New Roman"/>
            <w:bCs/>
            <w:sz w:val="26"/>
            <w:szCs w:val="26"/>
            <w:lang w:val="lv-LV" w:eastAsia="lv-LV"/>
          </w:rPr>
          <w:t>pasts@tm.gov.lv</w:t>
        </w:r>
      </w:hyperlink>
    </w:p>
    <w:p w14:paraId="2F453CC4" w14:textId="77777777" w:rsidR="00BE4AC1" w:rsidRPr="00C831D9" w:rsidRDefault="00BE4AC1" w:rsidP="00BE4AC1">
      <w:pPr>
        <w:pStyle w:val="Galvene"/>
        <w:jc w:val="both"/>
        <w:rPr>
          <w:rFonts w:ascii="Times New Roman" w:hAnsi="Times New Roman"/>
          <w:sz w:val="26"/>
          <w:szCs w:val="26"/>
          <w:lang w:val="lv-LV"/>
        </w:rPr>
      </w:pPr>
    </w:p>
    <w:p w14:paraId="0E3907D1" w14:textId="77777777" w:rsidR="00BE4AC1" w:rsidRPr="00C831D9" w:rsidRDefault="00BE4AC1" w:rsidP="00BE4AC1">
      <w:pPr>
        <w:pStyle w:val="Galvene"/>
        <w:rPr>
          <w:rFonts w:ascii="Times New Roman" w:hAnsi="Times New Roman"/>
          <w:sz w:val="26"/>
          <w:szCs w:val="26"/>
          <w:lang w:val="lv-LV"/>
        </w:rPr>
      </w:pPr>
    </w:p>
    <w:p w14:paraId="3CEDA3E2" w14:textId="77777777" w:rsidR="00F06F70" w:rsidRDefault="00F06F70" w:rsidP="00F06F70">
      <w:pPr>
        <w:tabs>
          <w:tab w:val="center" w:pos="709"/>
          <w:tab w:val="right" w:pos="8306"/>
        </w:tabs>
        <w:jc w:val="both"/>
        <w:rPr>
          <w:i/>
          <w:sz w:val="26"/>
          <w:szCs w:val="26"/>
          <w:lang w:eastAsia="en-US"/>
        </w:rPr>
      </w:pPr>
      <w:r w:rsidRPr="00790607">
        <w:rPr>
          <w:i/>
          <w:sz w:val="26"/>
          <w:szCs w:val="26"/>
          <w:lang w:eastAsia="en-US"/>
        </w:rPr>
        <w:t xml:space="preserve">Par likumprojekta </w:t>
      </w:r>
      <w:r>
        <w:rPr>
          <w:i/>
          <w:sz w:val="26"/>
          <w:szCs w:val="26"/>
          <w:lang w:eastAsia="en-US"/>
        </w:rPr>
        <w:t>“</w:t>
      </w:r>
      <w:r w:rsidRPr="00790607">
        <w:rPr>
          <w:i/>
          <w:sz w:val="26"/>
          <w:szCs w:val="26"/>
          <w:lang w:eastAsia="en-US"/>
        </w:rPr>
        <w:t xml:space="preserve">Grozījumi Apcietinājumā </w:t>
      </w:r>
    </w:p>
    <w:p w14:paraId="03B4EF78" w14:textId="77777777" w:rsidR="00F06F70" w:rsidRDefault="00F06F70" w:rsidP="00F06F70">
      <w:pPr>
        <w:tabs>
          <w:tab w:val="center" w:pos="709"/>
          <w:tab w:val="right" w:pos="8306"/>
        </w:tabs>
        <w:jc w:val="both"/>
        <w:rPr>
          <w:i/>
          <w:sz w:val="26"/>
          <w:szCs w:val="26"/>
          <w:lang w:eastAsia="en-US"/>
        </w:rPr>
      </w:pPr>
      <w:r w:rsidRPr="00790607">
        <w:rPr>
          <w:i/>
          <w:sz w:val="26"/>
          <w:szCs w:val="26"/>
          <w:lang w:eastAsia="en-US"/>
        </w:rPr>
        <w:t>turēšanas kārtības likumā</w:t>
      </w:r>
      <w:r>
        <w:rPr>
          <w:i/>
          <w:sz w:val="26"/>
          <w:szCs w:val="26"/>
          <w:lang w:eastAsia="en-US"/>
        </w:rPr>
        <w:t xml:space="preserve">” </w:t>
      </w:r>
      <w:r w:rsidRPr="00790607">
        <w:rPr>
          <w:i/>
          <w:sz w:val="26"/>
          <w:szCs w:val="26"/>
          <w:lang w:eastAsia="en-US"/>
        </w:rPr>
        <w:t>(VSS-594</w:t>
      </w:r>
      <w:r>
        <w:rPr>
          <w:i/>
          <w:sz w:val="26"/>
          <w:szCs w:val="26"/>
          <w:lang w:eastAsia="en-US"/>
        </w:rPr>
        <w:t>)</w:t>
      </w:r>
      <w:r w:rsidRPr="00790607">
        <w:rPr>
          <w:i/>
          <w:sz w:val="26"/>
          <w:szCs w:val="26"/>
          <w:lang w:eastAsia="en-US"/>
        </w:rPr>
        <w:t xml:space="preserve"> saskaņošanu</w:t>
      </w:r>
    </w:p>
    <w:p w14:paraId="4F538451" w14:textId="77777777" w:rsidR="00F06F70" w:rsidRDefault="00F06F70" w:rsidP="00F06F70">
      <w:pPr>
        <w:tabs>
          <w:tab w:val="center" w:pos="709"/>
          <w:tab w:val="right" w:pos="8306"/>
        </w:tabs>
        <w:jc w:val="both"/>
        <w:rPr>
          <w:i/>
          <w:sz w:val="26"/>
          <w:szCs w:val="26"/>
          <w:lang w:eastAsia="en-US"/>
        </w:rPr>
      </w:pPr>
    </w:p>
    <w:p w14:paraId="5207FA55" w14:textId="77777777" w:rsidR="00F06F70" w:rsidRPr="00F06F70" w:rsidRDefault="00F06F70" w:rsidP="00F06F70">
      <w:pPr>
        <w:tabs>
          <w:tab w:val="center" w:pos="709"/>
          <w:tab w:val="right" w:pos="8306"/>
        </w:tabs>
        <w:ind w:firstLine="709"/>
        <w:jc w:val="both"/>
        <w:rPr>
          <w:sz w:val="26"/>
          <w:szCs w:val="26"/>
          <w:lang w:eastAsia="en-US"/>
        </w:rPr>
      </w:pPr>
      <w:r w:rsidRPr="00F06F70">
        <w:rPr>
          <w:sz w:val="26"/>
          <w:szCs w:val="26"/>
          <w:lang w:eastAsia="en-US"/>
        </w:rPr>
        <w:t>Tiesībsargs saņēma Tieslietu ministrijas 2021.gada 30.jūlija vēstuli Nr.1-9.3/860 (reģistrēta 02.08.2021. ar Nr.355), kurā lūdzat līdz 2021.gada 9.augustam sniegt atzinumu par precizēto likumprojektu “Grozījumi Apcietinājumā turēšanas kārtības likumā” (turpmāk – likumprojekts).</w:t>
      </w:r>
    </w:p>
    <w:p w14:paraId="171B5FBB" w14:textId="77777777" w:rsidR="00F06F70" w:rsidRPr="00F06F70" w:rsidRDefault="00F06F70" w:rsidP="00F06F70">
      <w:pPr>
        <w:tabs>
          <w:tab w:val="center" w:pos="709"/>
          <w:tab w:val="right" w:pos="8306"/>
        </w:tabs>
        <w:ind w:firstLine="709"/>
        <w:jc w:val="both"/>
        <w:rPr>
          <w:sz w:val="26"/>
          <w:szCs w:val="26"/>
          <w:lang w:eastAsia="en-US"/>
        </w:rPr>
      </w:pPr>
      <w:r w:rsidRPr="00F06F70">
        <w:rPr>
          <w:sz w:val="26"/>
          <w:szCs w:val="26"/>
          <w:lang w:eastAsia="en-US"/>
        </w:rPr>
        <w:t>Tiesībsargs, iepazīstoties ar likumprojektu, tā sākotnējās ietekmes novērtējuma ziņojumu (anotāciju) (turpmāk – anotācija) un izziņu par atzinumos sniegtajiem iebildumiem, sniedz šādu atzinumu.</w:t>
      </w:r>
    </w:p>
    <w:p w14:paraId="10343C0A" w14:textId="77777777" w:rsidR="00F06F70" w:rsidRPr="00F06F70" w:rsidRDefault="00F06F70" w:rsidP="00F06F70">
      <w:pPr>
        <w:tabs>
          <w:tab w:val="center" w:pos="709"/>
          <w:tab w:val="right" w:pos="8306"/>
        </w:tabs>
        <w:jc w:val="both"/>
        <w:rPr>
          <w:sz w:val="26"/>
          <w:szCs w:val="26"/>
          <w:lang w:eastAsia="en-US"/>
        </w:rPr>
      </w:pPr>
    </w:p>
    <w:p w14:paraId="3EEFFA77" w14:textId="77777777" w:rsidR="00F06F70" w:rsidRPr="00F06F70" w:rsidRDefault="00F06F70" w:rsidP="00F06F70">
      <w:pPr>
        <w:tabs>
          <w:tab w:val="center" w:pos="709"/>
          <w:tab w:val="right" w:pos="8306"/>
        </w:tabs>
        <w:ind w:firstLine="709"/>
        <w:jc w:val="both"/>
        <w:rPr>
          <w:sz w:val="26"/>
          <w:szCs w:val="26"/>
          <w:lang w:eastAsia="en-US"/>
        </w:rPr>
      </w:pPr>
      <w:r w:rsidRPr="00F06F70">
        <w:rPr>
          <w:b/>
          <w:sz w:val="26"/>
          <w:szCs w:val="26"/>
          <w:lang w:eastAsia="en-US"/>
        </w:rPr>
        <w:t>1.</w:t>
      </w:r>
      <w:r w:rsidRPr="00F06F70">
        <w:rPr>
          <w:sz w:val="26"/>
          <w:szCs w:val="26"/>
          <w:lang w:eastAsia="en-US"/>
        </w:rPr>
        <w:t xml:space="preserve"> Tiesībsargs savā sākotnējā viedoklī par likumprojektu</w:t>
      </w:r>
      <w:r w:rsidRPr="00F06F70">
        <w:rPr>
          <w:rStyle w:val="Vresatsauce"/>
          <w:sz w:val="26"/>
          <w:szCs w:val="26"/>
          <w:lang w:eastAsia="en-US"/>
        </w:rPr>
        <w:footnoteReference w:id="1"/>
      </w:r>
      <w:r w:rsidRPr="00F06F70">
        <w:rPr>
          <w:sz w:val="26"/>
          <w:szCs w:val="26"/>
          <w:lang w:eastAsia="en-US"/>
        </w:rPr>
        <w:t xml:space="preserve"> aicināja pārskatīt likumprojekta nosacījumus attiecībā uz obligātu cietuma pārstāvja klātbūtni, apcietinātajam realizējot tiesības uz videosaziņu ar tuviniekiem. Tomēr Tieslietu ministrija tiesībsarga iebildumu neņēma vērā, pamatojot to ar apstākli, ka apcietinājums atšķiras no brīvības atņemšanas soda izpildes. Neapšaubot minēto argumentu, tiesībsargs nesaskata Tieslietu ministrijas argumentētu pamatojumu tam, kāpēc pilnīgi jebkurā gadījumā, bez individuālu apstākļu izvērtēšanas, būtu nodrošināma obligāta cietuma pārstāvja klātbūtne videosaziņas tiesību realizācijā. </w:t>
      </w:r>
    </w:p>
    <w:p w14:paraId="17686EDD" w14:textId="77777777" w:rsidR="00F06F70" w:rsidRPr="00F06F70" w:rsidRDefault="00F06F70" w:rsidP="00F06F70">
      <w:pPr>
        <w:tabs>
          <w:tab w:val="center" w:pos="709"/>
          <w:tab w:val="right" w:pos="8306"/>
        </w:tabs>
        <w:ind w:firstLine="709"/>
        <w:jc w:val="both"/>
        <w:rPr>
          <w:sz w:val="26"/>
          <w:szCs w:val="26"/>
          <w:lang w:eastAsia="en-US"/>
        </w:rPr>
      </w:pPr>
      <w:r w:rsidRPr="00F06F70">
        <w:rPr>
          <w:sz w:val="26"/>
          <w:szCs w:val="26"/>
          <w:lang w:eastAsia="en-US"/>
        </w:rPr>
        <w:t>Kā jau iepriekš tika uzsvērts, tad Satversmes tiesa savā 2009.gada 23.aprīļa spriedumā lietā Nr.2008-42-01 atzina, ka kārtība, kad ikvienu apcietināto tikšanās laikā ar radiniekiem, laulāto un bērniem, novēro un noklausās izmeklēšanas cietuma administrācijas pārstāvis, nesamērīgi ierobežo apcietināto tiesības uz privāto dzīvi. Vēršu uzmanību, ka persona apcietinājumā var atrasties pat vairākus gadus, kas tiesību ierobežojumu padara arvien būtiskāku. Satversmes tiesa vērsa uzmanību, ka Kriminālprocesa  likuma  271.pants</w:t>
      </w:r>
      <w:r w:rsidRPr="00F06F70">
        <w:rPr>
          <w:rStyle w:val="Vresatsauce"/>
          <w:sz w:val="26"/>
          <w:szCs w:val="26"/>
          <w:lang w:eastAsia="en-US"/>
        </w:rPr>
        <w:footnoteReference w:id="2"/>
      </w:r>
      <w:r w:rsidRPr="00F06F70">
        <w:rPr>
          <w:sz w:val="26"/>
          <w:szCs w:val="26"/>
          <w:lang w:eastAsia="en-US"/>
        </w:rPr>
        <w:t xml:space="preserve"> ļauj  tiesai  vai  izmeklēšanas  tiesnesim  individuāli izvērtēt katru gadījumu un noteikt nepieciešamos drošības pasākumus, kas jāpiemēro tikšanās  laikā.  Tātad  tiesa  vai  izmeklēšanas  tiesnesis,  izvērtējot  vairākus  apstākļus, </w:t>
      </w:r>
      <w:r w:rsidRPr="00F06F70">
        <w:rPr>
          <w:sz w:val="26"/>
          <w:szCs w:val="26"/>
          <w:lang w:eastAsia="en-US"/>
        </w:rPr>
        <w:lastRenderedPageBreak/>
        <w:t>tostarp apcietinājumā pavadīto laiku, kriminālprocesa stadiju un citus apstākļus, varētu lemt  arī  par  to,  vai  ir  nepieciešama  personas  novērošana  tikšanās  laikā  un,  ja  ir nepieciešama, vai pietiek ar vizuālu novērošanu, vai arī ir jāparedz iespēja noklausīties apcietinātā  un  apmeklētāja  sarunas.  Šāda  katra  gadījuma  individuāla  izvērtēšana  ir uzskatāma par mazāk ierobežojošu līdzekli.</w:t>
      </w:r>
      <w:r w:rsidRPr="00F06F70">
        <w:rPr>
          <w:rStyle w:val="Vresatsauce"/>
          <w:sz w:val="26"/>
          <w:szCs w:val="26"/>
          <w:lang w:eastAsia="en-US"/>
        </w:rPr>
        <w:footnoteReference w:id="3"/>
      </w:r>
    </w:p>
    <w:p w14:paraId="1C71E0A4" w14:textId="77777777" w:rsidR="00F06F70" w:rsidRPr="00F06F70" w:rsidRDefault="00F06F70" w:rsidP="00F06F70">
      <w:pPr>
        <w:tabs>
          <w:tab w:val="center" w:pos="709"/>
          <w:tab w:val="right" w:pos="8306"/>
        </w:tabs>
        <w:ind w:firstLine="709"/>
        <w:jc w:val="both"/>
        <w:rPr>
          <w:sz w:val="26"/>
          <w:szCs w:val="26"/>
          <w:lang w:eastAsia="en-US"/>
        </w:rPr>
      </w:pPr>
      <w:r w:rsidRPr="00F06F70">
        <w:rPr>
          <w:sz w:val="26"/>
          <w:szCs w:val="26"/>
          <w:lang w:eastAsia="en-US"/>
        </w:rPr>
        <w:t>Likumprojekta tekstā vairākkārtīgi tiek piesaukts tas, ka</w:t>
      </w:r>
      <w:r w:rsidRPr="00F06F70">
        <w:t xml:space="preserve"> </w:t>
      </w:r>
      <w:r w:rsidRPr="00F06F70">
        <w:rPr>
          <w:sz w:val="26"/>
          <w:szCs w:val="26"/>
          <w:lang w:eastAsia="en-US"/>
        </w:rPr>
        <w:t>apcietinājuma izpilde tiks organizēta, ievērojot Kriminālprocesa likumā noteiktajā kārtībā apcietinātajam noteiktos tikšanās un saziņas ierobežojumus atbilstoši Kriminālprocesa likuma 271.panta trešajai daļai. Līdz ar to saskaņojot likumprojektu ar Kriminālprocesa likuma 271.pantu un tā sakarā iesniegtos grozījumus Kriminālprocesa likumā (Nr.897/Lp13), nepieciešamību nodrošināt apcietinātā videosaziņu ar tuviniekiem izmeklēšanas cietuma administrācijas pārstāvja klātbūtnē būtu jāizvērtē katrā individuālā gadījumā.</w:t>
      </w:r>
    </w:p>
    <w:p w14:paraId="57C3AA93" w14:textId="77777777" w:rsidR="00F06F70" w:rsidRPr="00F06F70" w:rsidRDefault="00F06F70" w:rsidP="00F06F70">
      <w:pPr>
        <w:tabs>
          <w:tab w:val="center" w:pos="709"/>
          <w:tab w:val="right" w:pos="8306"/>
        </w:tabs>
        <w:jc w:val="both"/>
        <w:rPr>
          <w:sz w:val="26"/>
          <w:szCs w:val="26"/>
          <w:lang w:eastAsia="en-US"/>
        </w:rPr>
      </w:pPr>
    </w:p>
    <w:p w14:paraId="0873AFAF" w14:textId="77777777" w:rsidR="00F06F70" w:rsidRPr="00F06F70" w:rsidRDefault="00F06F70" w:rsidP="00F06F70">
      <w:pPr>
        <w:tabs>
          <w:tab w:val="center" w:pos="709"/>
          <w:tab w:val="right" w:pos="8306"/>
        </w:tabs>
        <w:ind w:firstLine="709"/>
        <w:jc w:val="both"/>
        <w:rPr>
          <w:sz w:val="26"/>
          <w:szCs w:val="26"/>
          <w:lang w:eastAsia="en-US"/>
        </w:rPr>
      </w:pPr>
      <w:r w:rsidRPr="00F06F70">
        <w:rPr>
          <w:b/>
          <w:sz w:val="26"/>
          <w:szCs w:val="26"/>
          <w:lang w:eastAsia="en-US"/>
        </w:rPr>
        <w:t>2.</w:t>
      </w:r>
      <w:r w:rsidRPr="00F06F70">
        <w:rPr>
          <w:sz w:val="26"/>
          <w:szCs w:val="26"/>
          <w:lang w:eastAsia="en-US"/>
        </w:rPr>
        <w:t xml:space="preserve"> Precizētais likumprojekts paredz papildināt Apcietinājumā turēšanas kārtības likuma </w:t>
      </w:r>
      <w:bookmarkStart w:id="0" w:name="_Hlk79400140"/>
      <w:r w:rsidRPr="00F06F70">
        <w:rPr>
          <w:sz w:val="26"/>
          <w:szCs w:val="26"/>
          <w:lang w:eastAsia="en-US"/>
        </w:rPr>
        <w:t>5.</w:t>
      </w:r>
      <w:r w:rsidRPr="00F06F70">
        <w:rPr>
          <w:sz w:val="26"/>
          <w:szCs w:val="26"/>
          <w:vertAlign w:val="superscript"/>
          <w:lang w:eastAsia="en-US"/>
        </w:rPr>
        <w:t>1</w:t>
      </w:r>
      <w:r w:rsidRPr="00F06F70">
        <w:rPr>
          <w:sz w:val="26"/>
          <w:szCs w:val="26"/>
          <w:lang w:eastAsia="en-US"/>
        </w:rPr>
        <w:t>pantu ar otro, trešo un ceturto daļu</w:t>
      </w:r>
      <w:bookmarkEnd w:id="0"/>
      <w:r w:rsidRPr="00F06F70">
        <w:rPr>
          <w:sz w:val="26"/>
          <w:szCs w:val="26"/>
          <w:lang w:eastAsia="en-US"/>
        </w:rPr>
        <w:t>, paredzot kārtību, kādā personas profesionālo pienākumu pildīšanas nolūkos apmeklē izmeklēšanas cietumu. Proti, persona, kura ierodas izmeklēšanas cietumā profesionālo pienākumu pildīšanai, uzrāda procesa virzītāja atļauju tikties ar apcietināto, izņemot gadījumus, ja persona ir iesaistīta šajā likumā noteiktajā apcietinājuma izpildes kārtības nodrošināšanā vai ja persona atbilst Kriminālprocesa likumā noteiktajiem izņēmumiem. Tāpat izmeklēšanas cietuma amatpersona pārbauda, vai apcietinātajam nav noteikti tikšanās un saziņas ierobežojumi ar personu, ar kuru viņš satiekas vai kura viņu apmeklē profesionālo pienākumu pildīšanas laikā. Vienlaikus izmeklēšanas cietuma priekšnieks var aizliegt satikšanos vai apmeklējumu, ja tas var apdraudēt ieslodzījuma vietas vai sabiedrības drošību, citu personu tiesības vai var veicināt noziedzīga nodarījuma izdarīšanu. Izmeklēšanas cietuma priekšnieka lēmums aizliegt satikšanos vai apmeklējumu šajā daļā minētajos gadījumos nav apstrīdams un pārsūdzams.</w:t>
      </w:r>
    </w:p>
    <w:p w14:paraId="59277DBA" w14:textId="77777777" w:rsidR="00F06F70" w:rsidRPr="00F06F70" w:rsidRDefault="00F06F70" w:rsidP="00F06F70">
      <w:pPr>
        <w:tabs>
          <w:tab w:val="center" w:pos="709"/>
          <w:tab w:val="right" w:pos="8306"/>
        </w:tabs>
        <w:ind w:firstLine="709"/>
        <w:jc w:val="both"/>
        <w:rPr>
          <w:sz w:val="26"/>
          <w:szCs w:val="26"/>
          <w:lang w:eastAsia="en-US"/>
        </w:rPr>
      </w:pPr>
      <w:r w:rsidRPr="00F06F70">
        <w:rPr>
          <w:sz w:val="26"/>
          <w:szCs w:val="26"/>
          <w:lang w:eastAsia="en-US"/>
        </w:rPr>
        <w:t xml:space="preserve">Kā norādīts Likumprojekta anotācijā, tad izmeklēšanas cietums varēs aizliegt satikšanos vai apmeklējumu arī tajos gadījumos, ja persona atbilst Kriminālprocesa likumā noteiktajiem izņēmumiem vai uzrāda procesa virzītāja atļauju. Līdz ar to, neskatoties uz atbilstību Kriminālprocesa likuma nosacījumiem, izmeklēšanas cietuma priekšnieks varēs pieņemt lēmumu par liegumu satikties ar apcietināto, kas nebūs apstrīdams un pārsūdzams. </w:t>
      </w:r>
    </w:p>
    <w:p w14:paraId="5B0F2867" w14:textId="77777777" w:rsidR="00F06F70" w:rsidRPr="00F06F70" w:rsidRDefault="00F06F70" w:rsidP="00F06F70">
      <w:pPr>
        <w:tabs>
          <w:tab w:val="center" w:pos="709"/>
          <w:tab w:val="right" w:pos="8306"/>
        </w:tabs>
        <w:ind w:firstLine="709"/>
        <w:jc w:val="both"/>
        <w:rPr>
          <w:sz w:val="26"/>
          <w:szCs w:val="26"/>
          <w:lang w:eastAsia="en-US"/>
        </w:rPr>
      </w:pPr>
      <w:r w:rsidRPr="00F06F70">
        <w:rPr>
          <w:sz w:val="26"/>
          <w:szCs w:val="26"/>
          <w:lang w:eastAsia="en-US"/>
        </w:rPr>
        <w:t>Satversmes tiesa ir secinājusi, ka Latvijas Republikas Satversmes (turpmāk – Satversme) 92.pants uzliek valstij pozitīvu pienākumu,  saskaņā  ar  kuru  tai  ne  vien  jāizveido  un  jāsaglabā  institucionālās infrastruktūras, kas nepieciešamas taisnīgas tiesas realizēšanai, bet arī jāpieņem un jāievieš  tiesību  normas,  kas  garantē,  ka  pati  procedūra  ir  taisnīga  un  objektīva. Satversmes tiesa ir arī secinājusi, ka Satversmes 92.pants negarantē personai tiesības jebkuru tai svarīgu jautājumu izlemt tiesā. Šī Satversmes norma garantē personai  tiesības taisnīgā tiesā aizsargāt tikai “tiesības un likumiskās intereses”. Ja personas tiesības un likumiskās intereses tiek ierobežotas, valstij ir  jānodrošina  efektīva  tiesību  uz  taisnīgu  tiesu  aizsardzība.  Tieši  no  šo  tiesību pienācīgas  nodrošināšanas  ir  atkarīga  arī  citu  personas  pamattiesību  aizsardzība.</w:t>
      </w:r>
      <w:r w:rsidRPr="00F06F70">
        <w:rPr>
          <w:rStyle w:val="Vresatsauce"/>
          <w:sz w:val="26"/>
          <w:szCs w:val="26"/>
          <w:lang w:eastAsia="en-US"/>
        </w:rPr>
        <w:footnoteReference w:id="4"/>
      </w:r>
    </w:p>
    <w:p w14:paraId="6F8DDD78" w14:textId="77777777" w:rsidR="00F06F70" w:rsidRPr="00F06F70" w:rsidRDefault="00F06F70" w:rsidP="00F06F70">
      <w:pPr>
        <w:tabs>
          <w:tab w:val="center" w:pos="709"/>
          <w:tab w:val="right" w:pos="8306"/>
        </w:tabs>
        <w:ind w:firstLine="709"/>
        <w:jc w:val="both"/>
        <w:rPr>
          <w:sz w:val="26"/>
          <w:szCs w:val="26"/>
          <w:lang w:eastAsia="en-US"/>
        </w:rPr>
      </w:pPr>
    </w:p>
    <w:p w14:paraId="30762D92" w14:textId="77777777" w:rsidR="00BA2E4C" w:rsidRPr="00F06F70" w:rsidRDefault="00F06F70" w:rsidP="00F06F70">
      <w:pPr>
        <w:pStyle w:val="Galvene"/>
        <w:tabs>
          <w:tab w:val="clear" w:pos="4153"/>
          <w:tab w:val="center" w:pos="709"/>
        </w:tabs>
        <w:ind w:firstLine="709"/>
        <w:jc w:val="both"/>
        <w:rPr>
          <w:rFonts w:ascii="Times New Roman" w:hAnsi="Times New Roman"/>
          <w:b/>
          <w:bCs/>
          <w:sz w:val="26"/>
          <w:szCs w:val="26"/>
          <w:lang w:val="lv-LV"/>
        </w:rPr>
      </w:pPr>
      <w:r w:rsidRPr="00F06F70">
        <w:rPr>
          <w:sz w:val="26"/>
          <w:szCs w:val="26"/>
          <w:lang w:val="lv-LV"/>
        </w:rPr>
        <w:t xml:space="preserve">Ņemot vērā, ka apcietinātie ir iestādei īpaši pakļautas personas, tiesības uz pārsūdzību būtu nodrošināmas gadījumos, kad apcietinātā cilvēktiesību ierobežojums tiek </w:t>
      </w:r>
      <w:r w:rsidRPr="00F06F70">
        <w:rPr>
          <w:sz w:val="26"/>
          <w:szCs w:val="26"/>
          <w:lang w:val="lv-LV"/>
        </w:rPr>
        <w:lastRenderedPageBreak/>
        <w:t>atzīts par būtisku. Atbilstoši likumprojektā noteiktajam izmeklēšanas cietuma priekšnieks noteiktos gadījumos varēs liegt apcietinātā satikšanos ar aizstāvi, ar kuru ir noslēgta vienošanās konkrētajā kriminālprocesā. Tāpat šāds liegums varētu attiekties uz gadījumiem, kad apcietinātais vēlētos satikties ar aizstāvi, kurš realizē aizstāvību citā kriminālprocesā, kā arī tad, ja apcietinātais vēlētos satikties ar zvērinātu advokātu, lai risinātu, piemēram, kādus civiltiesiska rakstura jautājumus. Situācijas varētu modelēt vēl, tomēr ir skaidrs tas, ka apcietinātā vēlme satikties ar personu, kura pilda savus profesionālos pienākumus, tiešā mērā ietiecas tiesību uz taisnīgu tiesu tvērumā. Savukārt liegums to realizēt būtiski ierobežotu apcietinātā tiesības uz taisnīgu tiesu, jo tā rezultātā apcietinātais nevarētu saņemt pilnvērtīgu juridisko konsultāciju vai kādu citu nozīmīgu informāciju savu likumīgo tiesību un interešu aizsardzībā. It īpaši tas būtu gadījumos, kad šāds liegums attiektos uz apcietinātā aizstāvi, kurš realizē aizstāvību konkrētajā kriminālprocesā. Līdz ar to likumprojektā būtu jāparedz tiesību aizsardzības līdzekļi izmeklēšanas cietuma priekšnieka lēmumam aizliegt satikšanos vai apmeklējumu 5.</w:t>
      </w:r>
      <w:r w:rsidRPr="00F06F70">
        <w:rPr>
          <w:sz w:val="26"/>
          <w:szCs w:val="26"/>
          <w:vertAlign w:val="superscript"/>
          <w:lang w:val="lv-LV"/>
        </w:rPr>
        <w:t>1</w:t>
      </w:r>
      <w:r w:rsidRPr="00F06F70">
        <w:rPr>
          <w:sz w:val="26"/>
          <w:szCs w:val="26"/>
          <w:lang w:val="lv-LV"/>
        </w:rPr>
        <w:t>panta ceturtajā daļā minētajos gadījumos.</w:t>
      </w:r>
    </w:p>
    <w:p w14:paraId="40BEFFF3" w14:textId="77777777" w:rsidR="00951118" w:rsidRDefault="00951118" w:rsidP="00951118">
      <w:pPr>
        <w:pStyle w:val="Galvene"/>
        <w:tabs>
          <w:tab w:val="clear" w:pos="4153"/>
          <w:tab w:val="center" w:pos="709"/>
        </w:tabs>
        <w:ind w:firstLine="709"/>
        <w:jc w:val="both"/>
        <w:rPr>
          <w:rFonts w:ascii="Times New Roman" w:hAnsi="Times New Roman"/>
          <w:b/>
          <w:bCs/>
          <w:sz w:val="26"/>
          <w:szCs w:val="26"/>
          <w:lang w:val="lv-LV"/>
        </w:rPr>
      </w:pPr>
    </w:p>
    <w:p w14:paraId="7A6DD2CF" w14:textId="77777777" w:rsidR="00951118" w:rsidRPr="00951118" w:rsidRDefault="00951118" w:rsidP="00951118">
      <w:pPr>
        <w:pStyle w:val="Galvene"/>
        <w:tabs>
          <w:tab w:val="clear" w:pos="4153"/>
          <w:tab w:val="center" w:pos="709"/>
        </w:tabs>
        <w:ind w:firstLine="709"/>
        <w:jc w:val="both"/>
        <w:rPr>
          <w:rFonts w:ascii="Times New Roman" w:hAnsi="Times New Roman"/>
          <w:b/>
          <w:bCs/>
          <w:sz w:val="26"/>
          <w:szCs w:val="26"/>
          <w:lang w:val="lv-LV"/>
        </w:rPr>
      </w:pPr>
    </w:p>
    <w:p w14:paraId="623D3E9E" w14:textId="77777777" w:rsidR="00BA2E4C" w:rsidRDefault="00BA2E4C" w:rsidP="00FD6945">
      <w:pPr>
        <w:pStyle w:val="Galvene"/>
        <w:tabs>
          <w:tab w:val="clear" w:pos="4153"/>
        </w:tabs>
        <w:jc w:val="both"/>
        <w:rPr>
          <w:rFonts w:ascii="Times New Roman" w:hAnsi="Times New Roman"/>
          <w:sz w:val="26"/>
          <w:szCs w:val="26"/>
          <w:lang w:val="lv-LV"/>
        </w:rPr>
      </w:pPr>
      <w:r w:rsidRPr="000706AE">
        <w:rPr>
          <w:rFonts w:ascii="Times New Roman" w:hAnsi="Times New Roman"/>
          <w:sz w:val="26"/>
          <w:szCs w:val="26"/>
          <w:lang w:val="lv-LV"/>
        </w:rPr>
        <w:t>Ar cieņu</w:t>
      </w:r>
    </w:p>
    <w:p w14:paraId="62981122" w14:textId="77777777" w:rsidR="008D6963" w:rsidRPr="000706AE" w:rsidRDefault="008D6963" w:rsidP="00FD6945">
      <w:pPr>
        <w:pStyle w:val="Galvene"/>
        <w:tabs>
          <w:tab w:val="clear" w:pos="4153"/>
        </w:tabs>
        <w:jc w:val="both"/>
        <w:rPr>
          <w:rFonts w:ascii="Times New Roman" w:hAnsi="Times New Roman"/>
          <w:sz w:val="26"/>
          <w:szCs w:val="26"/>
          <w:lang w:val="lv-LV"/>
        </w:rPr>
      </w:pPr>
      <w:r>
        <w:rPr>
          <w:rFonts w:ascii="Times New Roman" w:hAnsi="Times New Roman"/>
          <w:sz w:val="26"/>
          <w:szCs w:val="26"/>
          <w:lang w:val="lv-LV"/>
        </w:rPr>
        <w:t>tiesībsarga pilnvarojumā</w:t>
      </w:r>
    </w:p>
    <w:tbl>
      <w:tblPr>
        <w:tblW w:w="0" w:type="auto"/>
        <w:tblLook w:val="04A0" w:firstRow="1" w:lastRow="0" w:firstColumn="1" w:lastColumn="0" w:noHBand="0" w:noVBand="1"/>
      </w:tblPr>
      <w:tblGrid>
        <w:gridCol w:w="4641"/>
        <w:gridCol w:w="4929"/>
      </w:tblGrid>
      <w:tr w:rsidR="003048DA" w14:paraId="7E447068" w14:textId="77777777" w:rsidTr="00B3106E">
        <w:tc>
          <w:tcPr>
            <w:tcW w:w="4785" w:type="dxa"/>
            <w:shd w:val="clear" w:color="auto" w:fill="auto"/>
          </w:tcPr>
          <w:p w14:paraId="7ED6281B" w14:textId="77777777" w:rsidR="000706AE" w:rsidRPr="00B3106E" w:rsidRDefault="00A81B74" w:rsidP="00721EE8">
            <w:pPr>
              <w:pStyle w:val="Galvene"/>
              <w:tabs>
                <w:tab w:val="clear" w:pos="4153"/>
              </w:tabs>
              <w:rPr>
                <w:rFonts w:ascii="Times New Roman" w:hAnsi="Times New Roman"/>
                <w:sz w:val="26"/>
                <w:szCs w:val="26"/>
                <w:lang w:val="lv-LV"/>
              </w:rPr>
            </w:pPr>
            <w:r w:rsidRPr="00A81B74">
              <w:rPr>
                <w:rFonts w:ascii="Times New Roman" w:hAnsi="Times New Roman"/>
                <w:noProof/>
                <w:sz w:val="26"/>
                <w:szCs w:val="26"/>
                <w:lang w:val="lv-LV"/>
              </w:rPr>
              <w:t>Pilsonisko un politisko tiesību nodaļas vadītāja</w:t>
            </w:r>
          </w:p>
        </w:tc>
        <w:tc>
          <w:tcPr>
            <w:tcW w:w="5104" w:type="dxa"/>
            <w:shd w:val="clear" w:color="auto" w:fill="auto"/>
          </w:tcPr>
          <w:p w14:paraId="78CD7D14" w14:textId="77777777" w:rsidR="000706AE" w:rsidRPr="00B3106E" w:rsidRDefault="00A81B74" w:rsidP="00B3106E">
            <w:pPr>
              <w:pStyle w:val="Galvene"/>
              <w:tabs>
                <w:tab w:val="clear" w:pos="4153"/>
              </w:tabs>
              <w:jc w:val="right"/>
              <w:rPr>
                <w:rFonts w:ascii="Times New Roman" w:hAnsi="Times New Roman"/>
                <w:sz w:val="26"/>
                <w:szCs w:val="26"/>
                <w:lang w:val="lv-LV"/>
              </w:rPr>
            </w:pPr>
            <w:r w:rsidRPr="00A81B74">
              <w:rPr>
                <w:rFonts w:ascii="Times New Roman" w:hAnsi="Times New Roman"/>
                <w:noProof/>
                <w:sz w:val="26"/>
                <w:szCs w:val="26"/>
                <w:lang w:val="lv-LV"/>
              </w:rPr>
              <w:t>Ineta Piļāne</w:t>
            </w:r>
          </w:p>
        </w:tc>
      </w:tr>
    </w:tbl>
    <w:p w14:paraId="229947A2" w14:textId="77777777" w:rsidR="00441D61" w:rsidRDefault="00441D61" w:rsidP="000706AE">
      <w:pPr>
        <w:pStyle w:val="Galvene"/>
        <w:tabs>
          <w:tab w:val="clear" w:pos="4153"/>
          <w:tab w:val="clear" w:pos="8306"/>
        </w:tabs>
        <w:jc w:val="both"/>
        <w:rPr>
          <w:rFonts w:ascii="Times New Roman" w:hAnsi="Times New Roman"/>
          <w:sz w:val="28"/>
          <w:szCs w:val="28"/>
          <w:lang w:val="lv-LV"/>
        </w:rPr>
      </w:pPr>
    </w:p>
    <w:p w14:paraId="6D5DE372" w14:textId="77777777" w:rsidR="000706AE" w:rsidRDefault="000706AE" w:rsidP="000706AE">
      <w:pPr>
        <w:pStyle w:val="Galvene"/>
        <w:tabs>
          <w:tab w:val="clear" w:pos="4153"/>
          <w:tab w:val="clear" w:pos="8306"/>
        </w:tabs>
        <w:jc w:val="both"/>
        <w:rPr>
          <w:rFonts w:ascii="Times New Roman" w:hAnsi="Times New Roman"/>
          <w:sz w:val="28"/>
          <w:szCs w:val="28"/>
          <w:lang w:val="lv-LV"/>
        </w:rPr>
      </w:pPr>
    </w:p>
    <w:p w14:paraId="45EB8533" w14:textId="77777777" w:rsidR="000706AE" w:rsidRDefault="00A81B74" w:rsidP="000706AE">
      <w:pPr>
        <w:pStyle w:val="Galvene"/>
        <w:tabs>
          <w:tab w:val="clear" w:pos="4153"/>
          <w:tab w:val="clear" w:pos="8306"/>
        </w:tabs>
        <w:jc w:val="both"/>
        <w:rPr>
          <w:rFonts w:ascii="Times New Roman" w:hAnsi="Times New Roman"/>
          <w:sz w:val="20"/>
          <w:lang w:val="lv-LV"/>
        </w:rPr>
      </w:pPr>
      <w:r w:rsidRPr="00A81B74">
        <w:rPr>
          <w:rFonts w:ascii="Times New Roman" w:hAnsi="Times New Roman"/>
          <w:noProof/>
          <w:sz w:val="20"/>
          <w:lang w:val="lv-LV"/>
        </w:rPr>
        <w:t>Matīss Malojlo</w:t>
      </w:r>
      <w:r>
        <w:rPr>
          <w:rFonts w:ascii="Times New Roman" w:hAnsi="Times New Roman"/>
          <w:sz w:val="20"/>
          <w:lang w:val="lv-LV"/>
        </w:rPr>
        <w:t xml:space="preserve"> </w:t>
      </w:r>
      <w:r w:rsidRPr="00A81B74">
        <w:rPr>
          <w:rFonts w:ascii="Times New Roman" w:hAnsi="Times New Roman"/>
          <w:noProof/>
          <w:sz w:val="20"/>
          <w:lang w:val="lv-LV"/>
        </w:rPr>
        <w:t>67</w:t>
      </w:r>
      <w:r w:rsidR="00F06F70">
        <w:rPr>
          <w:rFonts w:ascii="Times New Roman" w:hAnsi="Times New Roman"/>
          <w:noProof/>
          <w:sz w:val="20"/>
          <w:lang w:val="lv-LV"/>
        </w:rPr>
        <w:t>686768</w:t>
      </w:r>
    </w:p>
    <w:p w14:paraId="7761C7DF" w14:textId="77777777" w:rsidR="000706AE" w:rsidRDefault="00A81B74" w:rsidP="000706AE">
      <w:pPr>
        <w:pStyle w:val="Galvene"/>
        <w:tabs>
          <w:tab w:val="clear" w:pos="4153"/>
          <w:tab w:val="clear" w:pos="8306"/>
        </w:tabs>
        <w:jc w:val="both"/>
        <w:rPr>
          <w:rFonts w:ascii="Times New Roman" w:hAnsi="Times New Roman"/>
          <w:sz w:val="20"/>
          <w:lang w:val="lv-LV"/>
        </w:rPr>
      </w:pPr>
      <w:r w:rsidRPr="00A81B74">
        <w:rPr>
          <w:rFonts w:ascii="Times New Roman" w:hAnsi="Times New Roman"/>
          <w:noProof/>
          <w:sz w:val="20"/>
          <w:lang w:val="lv-LV"/>
        </w:rPr>
        <w:t>matiss.malojlo@tiesibsargs.lv</w:t>
      </w:r>
    </w:p>
    <w:p w14:paraId="7D3DA7C0" w14:textId="77777777" w:rsidR="00AF742B" w:rsidRPr="00F06F70" w:rsidRDefault="00AF742B" w:rsidP="00F06F70">
      <w:pPr>
        <w:pStyle w:val="Galvene"/>
        <w:tabs>
          <w:tab w:val="clear" w:pos="4153"/>
          <w:tab w:val="clear" w:pos="8306"/>
        </w:tabs>
        <w:spacing w:before="480" w:after="240"/>
        <w:ind w:firstLine="720"/>
        <w:jc w:val="both"/>
        <w:rPr>
          <w:rFonts w:ascii="Times New Roman" w:hAnsi="Times New Roman"/>
          <w:sz w:val="28"/>
          <w:szCs w:val="28"/>
          <w:lang w:val="lv-LV"/>
        </w:rPr>
      </w:pPr>
      <w:bookmarkStart w:id="1" w:name="_Hlk522719934"/>
      <w:r>
        <w:rPr>
          <w:rFonts w:ascii="Times New Roman" w:hAnsi="Times New Roman"/>
          <w:i/>
          <w:iCs/>
          <w:color w:val="000000"/>
          <w:sz w:val="26"/>
          <w:szCs w:val="26"/>
        </w:rPr>
        <w:t>Šis d</w:t>
      </w:r>
      <w:r w:rsidRPr="00DE4821">
        <w:rPr>
          <w:rFonts w:ascii="Times New Roman" w:hAnsi="Times New Roman"/>
          <w:i/>
          <w:iCs/>
          <w:color w:val="000000"/>
          <w:sz w:val="26"/>
          <w:szCs w:val="26"/>
        </w:rPr>
        <w:t>okuments</w:t>
      </w:r>
      <w:r>
        <w:rPr>
          <w:rFonts w:ascii="Times New Roman" w:hAnsi="Times New Roman"/>
          <w:i/>
          <w:iCs/>
          <w:color w:val="000000"/>
          <w:sz w:val="26"/>
          <w:szCs w:val="26"/>
        </w:rPr>
        <w:t xml:space="preserve"> ir</w:t>
      </w:r>
      <w:r w:rsidRPr="00DE4821">
        <w:rPr>
          <w:rFonts w:ascii="Times New Roman" w:hAnsi="Times New Roman"/>
          <w:i/>
          <w:iCs/>
          <w:color w:val="000000"/>
          <w:sz w:val="26"/>
          <w:szCs w:val="26"/>
        </w:rPr>
        <w:t xml:space="preserve"> parakstīts ar drošu elektronisko parakstu un satur laika zīmogu</w:t>
      </w:r>
      <w:bookmarkEnd w:id="1"/>
    </w:p>
    <w:sectPr w:rsidR="00AF742B" w:rsidRPr="00F06F70" w:rsidSect="000706AE">
      <w:headerReference w:type="even" r:id="rId9"/>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02FD" w14:textId="77777777" w:rsidR="003048DA" w:rsidRDefault="003048DA">
      <w:r>
        <w:separator/>
      </w:r>
    </w:p>
  </w:endnote>
  <w:endnote w:type="continuationSeparator" w:id="0">
    <w:p w14:paraId="78E57FE7" w14:textId="77777777" w:rsidR="003048DA" w:rsidRDefault="00304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ilde">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823FA" w14:textId="77777777" w:rsidR="003048DA" w:rsidRDefault="003048DA">
      <w:r>
        <w:separator/>
      </w:r>
    </w:p>
  </w:footnote>
  <w:footnote w:type="continuationSeparator" w:id="0">
    <w:p w14:paraId="3402DEAE" w14:textId="77777777" w:rsidR="003048DA" w:rsidRDefault="003048DA">
      <w:r>
        <w:continuationSeparator/>
      </w:r>
    </w:p>
  </w:footnote>
  <w:footnote w:id="1">
    <w:p w14:paraId="37B22F89" w14:textId="77777777" w:rsidR="00F06F70" w:rsidRDefault="00F06F70" w:rsidP="00F06F70">
      <w:pPr>
        <w:pStyle w:val="Vresteksts"/>
        <w:jc w:val="both"/>
      </w:pPr>
      <w:r>
        <w:rPr>
          <w:rStyle w:val="Vresatsauce"/>
        </w:rPr>
        <w:footnoteRef/>
      </w:r>
      <w:r>
        <w:t xml:space="preserve"> Sk. tiesībsarga 07.08.2020. </w:t>
      </w:r>
      <w:r w:rsidRPr="005355FE">
        <w:t>vēstul</w:t>
      </w:r>
      <w:r>
        <w:t>i</w:t>
      </w:r>
      <w:r w:rsidRPr="005355FE">
        <w:t>,</w:t>
      </w:r>
      <w:r>
        <w:t xml:space="preserve"> </w:t>
      </w:r>
      <w:r w:rsidRPr="005355FE">
        <w:t>Nr.1-8/35</w:t>
      </w:r>
      <w:r>
        <w:t>, uz Tieslietu ministrijas</w:t>
      </w:r>
      <w:r w:rsidRPr="005355FE">
        <w:t xml:space="preserve"> 22.07.2020</w:t>
      </w:r>
      <w:r>
        <w:t>. vēstuli, Nr.</w:t>
      </w:r>
      <w:r w:rsidRPr="005355FE">
        <w:t>1-9.3/787</w:t>
      </w:r>
      <w:r>
        <w:t>.</w:t>
      </w:r>
    </w:p>
  </w:footnote>
  <w:footnote w:id="2">
    <w:p w14:paraId="49D66B2B" w14:textId="77777777" w:rsidR="00F06F70" w:rsidRDefault="00F06F70" w:rsidP="00F06F70">
      <w:pPr>
        <w:pStyle w:val="Vresteksts"/>
        <w:jc w:val="both"/>
      </w:pPr>
      <w:r>
        <w:rPr>
          <w:rStyle w:val="Vresatsauce"/>
        </w:rPr>
        <w:footnoteRef/>
      </w:r>
      <w:r>
        <w:t xml:space="preserve"> Redakcijā, kas bija spēkā uz Satversmes tiesas sprieduma taisīšanas brīdi.</w:t>
      </w:r>
    </w:p>
  </w:footnote>
  <w:footnote w:id="3">
    <w:p w14:paraId="41DA26A4" w14:textId="77777777" w:rsidR="00F06F70" w:rsidRDefault="00F06F70" w:rsidP="00F06F70">
      <w:pPr>
        <w:pStyle w:val="Vresteksts"/>
        <w:jc w:val="both"/>
      </w:pPr>
      <w:r>
        <w:rPr>
          <w:rStyle w:val="Vresatsauce"/>
        </w:rPr>
        <w:footnoteRef/>
      </w:r>
      <w:r>
        <w:t xml:space="preserve"> </w:t>
      </w:r>
      <w:r w:rsidRPr="003278AB">
        <w:t>Satversmes tiesas 2009.gada 23.aprīļa spriedum</w:t>
      </w:r>
      <w:r>
        <w:t xml:space="preserve">a </w:t>
      </w:r>
      <w:r w:rsidRPr="003278AB">
        <w:t>lietā Nr.2008-42-01 17.3.2.p</w:t>
      </w:r>
      <w:r>
        <w:t>unkts.</w:t>
      </w:r>
    </w:p>
  </w:footnote>
  <w:footnote w:id="4">
    <w:p w14:paraId="69092922" w14:textId="77777777" w:rsidR="00F06F70" w:rsidRDefault="00F06F70" w:rsidP="00F06F70">
      <w:pPr>
        <w:pStyle w:val="Vresteksts"/>
        <w:jc w:val="both"/>
      </w:pPr>
      <w:r>
        <w:rPr>
          <w:rStyle w:val="Vresatsauce"/>
        </w:rPr>
        <w:footnoteRef/>
      </w:r>
      <w:r>
        <w:t xml:space="preserve"> Satversmes tiesas </w:t>
      </w:r>
      <w:r w:rsidRPr="000543C3">
        <w:t>2017.gada 18.maij</w:t>
      </w:r>
      <w:r>
        <w:t xml:space="preserve">a sprieduma </w:t>
      </w:r>
      <w:r w:rsidRPr="000543C3">
        <w:t>lietā Nr.2016-12-01</w:t>
      </w:r>
      <w:r>
        <w:t xml:space="preserve"> 11.punkts.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F13D" w14:textId="77777777" w:rsidR="007A741F" w:rsidRDefault="007A741F" w:rsidP="0080464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4A275CB" w14:textId="77777777" w:rsidR="007A741F" w:rsidRDefault="007A74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A0D1" w14:textId="77777777" w:rsidR="00FD6945" w:rsidRPr="00FD6945" w:rsidRDefault="00FD6945">
    <w:pPr>
      <w:pStyle w:val="Galvene"/>
      <w:jc w:val="center"/>
      <w:rPr>
        <w:rFonts w:ascii="Times New Roman" w:hAnsi="Times New Roman"/>
        <w:szCs w:val="22"/>
      </w:rPr>
    </w:pPr>
    <w:r w:rsidRPr="00FD6945">
      <w:rPr>
        <w:rFonts w:ascii="Times New Roman" w:hAnsi="Times New Roman"/>
        <w:szCs w:val="22"/>
      </w:rPr>
      <w:fldChar w:fldCharType="begin"/>
    </w:r>
    <w:r w:rsidRPr="00FD6945">
      <w:rPr>
        <w:rFonts w:ascii="Times New Roman" w:hAnsi="Times New Roman"/>
        <w:szCs w:val="22"/>
      </w:rPr>
      <w:instrText xml:space="preserve"> PAGE   \* MERGEFORMAT </w:instrText>
    </w:r>
    <w:r w:rsidRPr="00FD6945">
      <w:rPr>
        <w:rFonts w:ascii="Times New Roman" w:hAnsi="Times New Roman"/>
        <w:szCs w:val="22"/>
      </w:rPr>
      <w:fldChar w:fldCharType="separate"/>
    </w:r>
    <w:r w:rsidR="00441D61">
      <w:rPr>
        <w:rFonts w:ascii="Times New Roman" w:hAnsi="Times New Roman"/>
        <w:noProof/>
        <w:szCs w:val="22"/>
      </w:rPr>
      <w:t>3</w:t>
    </w:r>
    <w:r w:rsidRPr="00FD6945">
      <w:rPr>
        <w:rFonts w:ascii="Times New Roman" w:hAnsi="Times New Roman"/>
        <w:noProof/>
        <w:szCs w:val="22"/>
      </w:rPr>
      <w:fldChar w:fldCharType="end"/>
    </w:r>
  </w:p>
  <w:p w14:paraId="35954938" w14:textId="77777777" w:rsidR="007A741F" w:rsidRDefault="007A74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7620B0B"/>
    <w:multiLevelType w:val="hybridMultilevel"/>
    <w:tmpl w:val="6144D180"/>
    <w:lvl w:ilv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4F0B20F3"/>
    <w:multiLevelType w:val="hybridMultilevel"/>
    <w:tmpl w:val="8BBE8A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5EE70E83"/>
    <w:multiLevelType w:val="hybridMultilevel"/>
    <w:tmpl w:val="AEAEC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798D75C4"/>
    <w:multiLevelType w:val="hybridMultilevel"/>
    <w:tmpl w:val="87206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7B4445C8"/>
    <w:multiLevelType w:val="hybridMultilevel"/>
    <w:tmpl w:val="0D745AE8"/>
    <w:lvl w:ilv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4644"/>
    <w:rsid w:val="000543C3"/>
    <w:rsid w:val="00070696"/>
    <w:rsid w:val="000706AE"/>
    <w:rsid w:val="000908CF"/>
    <w:rsid w:val="000A2C74"/>
    <w:rsid w:val="000A39C9"/>
    <w:rsid w:val="000C4BD1"/>
    <w:rsid w:val="000E53D3"/>
    <w:rsid w:val="001023F6"/>
    <w:rsid w:val="00183FA6"/>
    <w:rsid w:val="00186763"/>
    <w:rsid w:val="001A7C10"/>
    <w:rsid w:val="00200A23"/>
    <w:rsid w:val="00207BBF"/>
    <w:rsid w:val="00224E88"/>
    <w:rsid w:val="00282E5F"/>
    <w:rsid w:val="003048DA"/>
    <w:rsid w:val="003278AB"/>
    <w:rsid w:val="00335471"/>
    <w:rsid w:val="00380CC6"/>
    <w:rsid w:val="00395E0C"/>
    <w:rsid w:val="003E6958"/>
    <w:rsid w:val="0040215D"/>
    <w:rsid w:val="00430855"/>
    <w:rsid w:val="004322CD"/>
    <w:rsid w:val="00441D61"/>
    <w:rsid w:val="0049289E"/>
    <w:rsid w:val="004A2FBA"/>
    <w:rsid w:val="004B2CB9"/>
    <w:rsid w:val="00504448"/>
    <w:rsid w:val="005355FE"/>
    <w:rsid w:val="0053561E"/>
    <w:rsid w:val="005A496C"/>
    <w:rsid w:val="005D2CA2"/>
    <w:rsid w:val="005D6EF1"/>
    <w:rsid w:val="00604841"/>
    <w:rsid w:val="006B0E68"/>
    <w:rsid w:val="006C4E7B"/>
    <w:rsid w:val="00721EE8"/>
    <w:rsid w:val="0072350D"/>
    <w:rsid w:val="00790607"/>
    <w:rsid w:val="007A741F"/>
    <w:rsid w:val="00804644"/>
    <w:rsid w:val="00815AB0"/>
    <w:rsid w:val="00821B1E"/>
    <w:rsid w:val="00872CDF"/>
    <w:rsid w:val="0088136E"/>
    <w:rsid w:val="008970D1"/>
    <w:rsid w:val="008A30F6"/>
    <w:rsid w:val="008D6963"/>
    <w:rsid w:val="008E36C1"/>
    <w:rsid w:val="00913B00"/>
    <w:rsid w:val="00951118"/>
    <w:rsid w:val="009A6674"/>
    <w:rsid w:val="009C4241"/>
    <w:rsid w:val="009C5C36"/>
    <w:rsid w:val="009D1FEF"/>
    <w:rsid w:val="00A0343C"/>
    <w:rsid w:val="00A22A95"/>
    <w:rsid w:val="00A24803"/>
    <w:rsid w:val="00A27006"/>
    <w:rsid w:val="00A30EB9"/>
    <w:rsid w:val="00A81B74"/>
    <w:rsid w:val="00AF742B"/>
    <w:rsid w:val="00B0476B"/>
    <w:rsid w:val="00B25514"/>
    <w:rsid w:val="00B25F20"/>
    <w:rsid w:val="00B3106E"/>
    <w:rsid w:val="00B344F1"/>
    <w:rsid w:val="00B62A21"/>
    <w:rsid w:val="00B7545D"/>
    <w:rsid w:val="00BA2E4C"/>
    <w:rsid w:val="00BB435B"/>
    <w:rsid w:val="00BE4AC1"/>
    <w:rsid w:val="00BF75CF"/>
    <w:rsid w:val="00C831D9"/>
    <w:rsid w:val="00CD2A37"/>
    <w:rsid w:val="00CD4C81"/>
    <w:rsid w:val="00D3377C"/>
    <w:rsid w:val="00DE4821"/>
    <w:rsid w:val="00E11847"/>
    <w:rsid w:val="00E42F45"/>
    <w:rsid w:val="00E64FF4"/>
    <w:rsid w:val="00E863EA"/>
    <w:rsid w:val="00EE11C4"/>
    <w:rsid w:val="00F06F70"/>
    <w:rsid w:val="00F1653A"/>
    <w:rsid w:val="00F25A26"/>
    <w:rsid w:val="00F41197"/>
    <w:rsid w:val="00F428B8"/>
    <w:rsid w:val="00F67FB7"/>
    <w:rsid w:val="00F919E0"/>
    <w:rsid w:val="00FA1C41"/>
    <w:rsid w:val="00FD6945"/>
    <w:rsid w:val="00FF53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23B8B36"/>
  <w15:chartTrackingRefBased/>
  <w15:docId w15:val="{AC877CBB-07B7-4535-AC71-B7E4B636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04644"/>
    <w:rPr>
      <w:sz w:val="22"/>
      <w:szCs w:val="22"/>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Galvene">
    <w:name w:val="header"/>
    <w:basedOn w:val="Parasts"/>
    <w:link w:val="GalveneRakstz"/>
    <w:uiPriority w:val="99"/>
    <w:rsid w:val="00804644"/>
    <w:pPr>
      <w:tabs>
        <w:tab w:val="center" w:pos="4153"/>
        <w:tab w:val="right" w:pos="8306"/>
      </w:tabs>
    </w:pPr>
    <w:rPr>
      <w:rFonts w:ascii="Arial Tilde" w:hAnsi="Arial Tilde"/>
      <w:szCs w:val="20"/>
      <w:lang w:val="en-GB" w:eastAsia="en-US"/>
    </w:rPr>
  </w:style>
  <w:style w:type="character" w:styleId="Lappusesnumurs">
    <w:name w:val="page number"/>
    <w:basedOn w:val="Noklusjumarindkopasfonts"/>
    <w:rsid w:val="00804644"/>
  </w:style>
  <w:style w:type="character" w:styleId="Hipersaite">
    <w:name w:val="Hyperlink"/>
    <w:rsid w:val="00F1653A"/>
    <w:rPr>
      <w:color w:val="0000FF"/>
      <w:u w:val="single"/>
    </w:rPr>
  </w:style>
  <w:style w:type="paragraph" w:styleId="Kjene">
    <w:name w:val="footer"/>
    <w:basedOn w:val="Parasts"/>
    <w:link w:val="KjeneRakstz"/>
    <w:uiPriority w:val="99"/>
    <w:rsid w:val="00FD6945"/>
    <w:pPr>
      <w:tabs>
        <w:tab w:val="center" w:pos="4153"/>
        <w:tab w:val="right" w:pos="8306"/>
      </w:tabs>
    </w:pPr>
  </w:style>
  <w:style w:type="character" w:customStyle="1" w:styleId="KjeneRakstz">
    <w:name w:val="Kājene Rakstz."/>
    <w:link w:val="Kjene"/>
    <w:uiPriority w:val="99"/>
    <w:rsid w:val="00FD6945"/>
    <w:rPr>
      <w:sz w:val="24"/>
      <w:szCs w:val="24"/>
    </w:rPr>
  </w:style>
  <w:style w:type="character" w:customStyle="1" w:styleId="GalveneRakstz">
    <w:name w:val="Galvene Rakstz."/>
    <w:link w:val="Galvene"/>
    <w:uiPriority w:val="99"/>
    <w:rsid w:val="00FD6945"/>
    <w:rPr>
      <w:rFonts w:ascii="Arial Tilde" w:hAnsi="Arial Tilde"/>
      <w:sz w:val="22"/>
      <w:lang w:val="en-GB" w:eastAsia="en-US"/>
    </w:rPr>
  </w:style>
  <w:style w:type="table" w:styleId="Reatabula">
    <w:name w:val="Table Grid"/>
    <w:basedOn w:val="Parastatabula"/>
    <w:rsid w:val="00070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F06F70"/>
    <w:rPr>
      <w:sz w:val="20"/>
      <w:szCs w:val="20"/>
    </w:rPr>
  </w:style>
  <w:style w:type="character" w:customStyle="1" w:styleId="VrestekstsRakstz">
    <w:name w:val="Vēres teksts Rakstz."/>
    <w:basedOn w:val="Noklusjumarindkopasfonts"/>
    <w:link w:val="Vresteksts"/>
    <w:rsid w:val="00F06F70"/>
  </w:style>
  <w:style w:type="character" w:styleId="Vresatsauce">
    <w:name w:val="footnote reference"/>
    <w:rsid w:val="00F06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6194">
      <w:bodyDiv w:val="1"/>
      <w:marLeft w:val="0"/>
      <w:marRight w:val="0"/>
      <w:marTop w:val="0"/>
      <w:marBottom w:val="0"/>
      <w:divBdr>
        <w:top w:val="none" w:sz="0" w:space="0" w:color="auto"/>
        <w:left w:val="none" w:sz="0" w:space="0" w:color="auto"/>
        <w:bottom w:val="none" w:sz="0" w:space="0" w:color="auto"/>
        <w:right w:val="none" w:sz="0" w:space="0" w:color="auto"/>
      </w:divBdr>
    </w:div>
    <w:div w:id="988484962">
      <w:bodyDiv w:val="1"/>
      <w:marLeft w:val="0"/>
      <w:marRight w:val="0"/>
      <w:marTop w:val="0"/>
      <w:marBottom w:val="0"/>
      <w:divBdr>
        <w:top w:val="none" w:sz="0" w:space="0" w:color="auto"/>
        <w:left w:val="none" w:sz="0" w:space="0" w:color="auto"/>
        <w:bottom w:val="none" w:sz="0" w:space="0" w:color="auto"/>
        <w:right w:val="none" w:sz="0" w:space="0" w:color="auto"/>
      </w:divBdr>
    </w:div>
    <w:div w:id="203668615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asts@tm.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4689</Words>
  <Characters>2673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7348</CharactersWithSpaces>
  <SharedDoc>false</SharedDoc>
  <HLinks>
    <vt:vector size="6" baseType="variant">
      <vt:variant>
        <vt:i4>8323087</vt:i4>
      </vt:variant>
      <vt:variant>
        <vt:i4>0</vt:i4>
      </vt:variant>
      <vt:variant>
        <vt:i4>0</vt:i4>
      </vt:variant>
      <vt:variant>
        <vt:i4>5</vt:i4>
      </vt:variant>
      <vt:variant>
        <vt:lpwstr>mailto:pasts@tm.gov.lv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sigita.saulite</dc:creator>
  <cp:keywords/>
  <cp:lastModifiedBy>Laura Šileikiste</cp:lastModifiedBy>
  <cp:revision>2</cp:revision>
  <cp:lastPrinted>2021-08-09T12:16:00Z</cp:lastPrinted>
  <dcterms:created xsi:type="dcterms:W3CDTF">2021-10-13T07:25:00Z</dcterms:created>
  <dcterms:modified xsi:type="dcterms:W3CDTF">2021-10-13T07:25:00Z</dcterms:modified>
</cp:coreProperties>
</file>