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5. februāra noteikumos Nr. 84 "Noteikumi par atsevišķu bīstamu ķīmisku vielu lietošanas ierobežojumiem elektriskajās un elektroniskajās iekārtās"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sadaļas aprakstu par spēkā stāšanās termiņu un tā pamatojumu, ņemot vērā, ka, kaut arī noteikumu projekta 1. punkts paredz, ka noteikumu 4. pielikuma 25. pants stājas spēkā 2022. gada 1. jūlijā, pats noteikumu projekts stājas spēkā vispārējā kārtībā. Papildus, lai anotācija sniegtu pilnīgu informāciju par noteikumu projektā ietverto normu nepieciešamību, aicinām anotācijas 1.3. sadaļas risinājuma aprakstu attiecīgā vietā papildināt ar skaidrojumu par noteikumu projekta 1. punktu, kas paredz 4. pielikuma 25. punkta spēkā stāšanos 2022. gada 1. jūlijā, jo šobrīd skaidrojums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“Risinājuma apraksts” ietverts apraksts par Direktīvas 2021/747/ES prasību pārņemšanu noteikumu projektā (sk. pēdējās divas rindkopas), kas neatbilst ne noteikumu projektam, ne anotācijas 5. sadaļā ietvertajai informācijai. Papildus norādām, ka minētās direktīvas prasības MK noteikumos Nr. 83 ir jau pārņemtas (sk. informatīvās atsauces uz Eiropas Savienības direktīvām 63. punktu).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(jaunā redakcijā izteiktajā 4. pielikumā) paredzēts, ka 4. pielikuma 28. un 30. punktā paredzētais lietojums ir spēkā līdz 2028. gada 1. jūlijam. Vēršam uzmanību, ka norādītie termiņi nesaskan ar Direktīvas 2021/1980 pielikumā un Direktīvas 2021/1978 pielikumā norādītajiem attiecīgajiem termiņiem (“termiņš beidzas 2028. gada 21. jūlijā). Lai nodrošinātu minēto direktīvu prasību pilnīgu pārņemšanu,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5. februāra noteikumos Nr. 84 "Noteikumi par atsevišķu bīstamu ķīmisku vielu lietošanas ierobežojumiem elektriskajās un elektroniskajās iekārtās"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precizēto esošo noteikumu 17.punktu. Vēršam uzmanību, ka Eiropas Parlamenta un Padomes Regula (ES) 2019/1020 (2019. gada 20. jūnijs) par tirgus uzraudzību un produktu atbilstību un ar ko groza Direktīvu 2004/42/EK un Regulas (EK) Nr. 765/2008 un (ES) Nr. 305/2011, "daļēji" aizstāj un precizē esošo noteikumu 17.punktā minēto Eiropas Parlamenta un Padomes 2008.gada 9.jūlija Regulu Nr. 765/2008,</w:t>
            </w:r>
            <w:r w:rsidR="00000000" w:rsidRPr="00000000" w:rsidDel="00000000">
              <w:rPr>
                <w:i w:val="1"/>
                <w:rtl w:val="0"/>
              </w:rPr>
              <w:t xml:space="preserve"> ar ko nosaka akreditācijas un tirgus uzraudzības prasības attiecībā uz produktu tirdzniecību un atceļ Regulu (EEK) Nr. 339/93</w:t>
            </w:r>
            <w:r w:rsidR="00000000" w:rsidRPr="00000000" w:rsidDel="00000000">
              <w:rPr>
                <w:rtl w:val="0"/>
              </w:rPr>
              <w:t xml:space="preserve">. Papildus informējam, ka esošo noteikumu 12.punkts nav jāprecizē augstāk minētā iemesla dēļ, jo CE zīmes prasības saglabājas Regulā Nr.765/2008.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aicināt 17.punktu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Tirgus uzraudzības pasākumus veic saskaņā ar Eiropas Parlamenta un Padomes Regulas (ES) 2019/1020 (2019. gada 20. jūnijs) par tirgus uzraudzību un produktu atbilstību un ar ko groza Direktīvu 2004/42/EK un Regulas (EK) Nr. 765/2008 un (ES) Nr. 305/2011 2., 10., 11., 13., 14., 16., 17., 18., 19., 20., 25., 26., 27., 28., 31. un 34.panta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"1.Tirgus uzraudzības pasākumus veic saskaņā ar Eiropas Parlamenta un Padomes Regulas (ES) 2019/1020 (2019. gada 20. jūnijs) par tirgus uzraudzību un produktu atbilstību un ar ko groza Direktīvu 2004/42/EK un Regulas (EK) Nr. 765/2008 un (ES) Nr. 305/2011 2., 10., 11., 13., 14., 16., 17., 18., 19., 20., 25., 26., 27., 28., 31. un 34.panta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pašreizējās situācijas aprakstā minēts: “MK noteikumu Nr. 84 4. pielikumā ir noteikti pieļaujamie izņēmumi MK noteikumu Nr. 84 5. punktā un 1. pielikumā minēto vielu lietošanai iekārtās, savukārt MK noteikumu Nr. 84. 4. pielikumā ir noteikti pieļaujamie svina, dzīvsudraba, kadmija, sešvērtīgā hroma, polibromēto bifenilu un polibromēto difenilēteru lietojumi medicīnas ierīcēs un kontroles un monitoringa instrumentos.” Vēršam uzmanību, ka teikuma pirmajā daļā ietvertais skaidrojums nesaskan ar otrajā daļā norādīto informāciju par 4. pielikumā ietverto informāciju (divas reizes minēts 4. pielikums), attiecīgi aicinām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Precizēts Noteikumu projekta anotācijas 1.3. sadaļas pašreizējās situācijas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sadaļas risinājuma aprakstu attiecīgā vietā papildināt ar skaidrojumu par noteikumu projekta 1. punktu, kas paredz 4. pielikuma 25. punkta spēkā stāšanos 2022. gada 1. jūlijā, jo šobrīd 1.3. sadaļā skaidrojums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1.un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22-TA-270</w:t>
    </w:r>
    <w:r>
      <w:br/>
    </w:r>
    <w:r w:rsidR="00000000" w:rsidRPr="00000000" w:rsidDel="00000000">
      <w:rPr>
        <w:rtl w:val="0"/>
      </w:rPr>
      <w:t xml:space="preserve">26.04.2022. 09.16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22-TA-270</w:t>
    </w:r>
    <w:r>
      <w:br/>
    </w:r>
    <w:r w:rsidR="00000000" w:rsidRPr="00000000" w:rsidDel="00000000">
      <w:rPr>
        <w:rtl w:val="0"/>
      </w:rPr>
      <w:t xml:space="preserve">26.04.2022. 09.16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Izziņa_22-TA-270.docx</dc:title>
</cp:coreProperties>
</file>

<file path=docProps/custom.xml><?xml version="1.0" encoding="utf-8"?>
<Properties xmlns="http://schemas.openxmlformats.org/officeDocument/2006/custom-properties" xmlns:vt="http://schemas.openxmlformats.org/officeDocument/2006/docPropsVTypes"/>
</file>