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23-TA-410: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pētnieks – Latvijas Republikas zinātnisko institūciju reģistrā reģistrēta zinātniskā institūcija (publisko tiesību subjekts vai privāto tiesību subjekts) vai augstskola (turpmāk – zinātniskā institūcija), kas neatkarīgi no juridiskā statusa vai finansēšanas veida atbilstoši tās darbību reglamentējošiem aktiem (statūtiem, nolikumam vai Satversmei) veic darbības, kurām nav saimnieciska rakstura;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5.4.apakšpunktā ietverta norāde uz atsevišķiem, nekonkretizētiem pētnieka "darbību reglamentējošiem aktiem". Nav arī skaidra atsauce uz Satversmi, piemēram, nav skaidrs, vai ar šo atsauci domāta Latvijas Republikas Satversme. Aicinām minēto uzskaitījumu svītrot, vai arī precizēt noteikumu projekta 5.4.apakšpunktu atbilstoši Ministru kabineta 2009. gada 3. februāra noteikumu Nr. 108 ''Normatīvo aktu projektu sagatavošanas noteikumi'' 133., 134. un 137. punktam, ietverot atsauces uz konkrētiem Ministru kabineta noteikumiem, konkrētiem likumiem vai uz konkrētu normatīvo aktu jomu, kas reglamentē pētnieka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“pētniecības organizācija” saskaņā ar Komisijas 2022. gada 14. decembra Regulu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pētnieks – Latvijas Republikas zinātnisko institūciju reģistrā reģistrēta zinātniskā institūcija (publisko tiesību subjekts vai privāto tiesību subjekts) vai augstskola (turpmāk – zinātniskā institūcija), kas neatkarīgi no juridiskā statusa vai finansēšanas veida atbilstoši tās darbību reglamentējošiem aktiem (statūtiem, nolikumam vai Satversmei) veic darbības, kurām nav saimnieciska rakstura;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piemērotu  Komisijas paziņojumu "Pētniecībai, izstrādei un inovācijai piešķiramā valsts atbalsta nostādnes" (2022/C 414/01) (turpmāk - EK nostādnes), nepieciešams nodrošināt, ka attiecīgās noteikumu projektā ietvertās definīcijas, t.sk., "pētnieka" definīcija atbilst EK nostādnēs noteiktajām definīcijām. Attiecīgi 5.4. apakšpunktā noteiktajai definīcijai ir jāatbilst EK nostādņu 16.punkta ff) apakšpunktā ir noteiktajam, ka “pētniecības un zināšanu izplatīšanas organizācija” vai “pētniecības organizācija” ir subjekts (piemēram, universitātes vai pētniecības institūti, tehnoloģiju pārneses aģentūras, inovācijas starpnieki, uz pētniecību orientēti fiziskas vai virtuālas sadarbības subjekti) neatkarīgi no tā juridiskā statusa (publisko vai privāto tiesību subjekts) vai finansējuma veida, kura galvenais mērķis ir neatkarīgi veikt fundamentālos pētījumus, rūpnieciskos pētījumus vai eksperimentālo izstrādi vai plaši izplatīt šādu darbību rezultātus mācību, publikāciju vai zināšanu pārneses veidā. Ja šāds subjekts veic arī saimniecisko darbību, šīs saimnieciskās darbības finansējums, izmaksas un ieņēmumi ir jāuzskaita atsevišķi. Uzņēmumiem, kas var izšķiroši ietekmēt šādu subjektu, piemēram, būdami tā akcionāri vai dalībnieki, nedrīkst būt piekļuves priekšrocības tā radītajiem pētniecības rezultātiem.". Ievērojot minēto, lūdzam precizēt noteikumu projekta 5.4. apakšpunktu un, ja nepieciešams, papildināt citus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“pētniecības organizācija” saskaņā ar regulu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inovācija - process, kurā tiek izstrādāti ieviešanai jauni vai ievērojami uzlaboti produkti, aprīkojums, procesi un metodes vai tiek ievērojami uzlabotas to funkcionālās īpašības un paredzamais lietošanas veids (piemēram, mainīti tehniskie parametri, sastāvdaļas un materiāli, pievienotā programmatūra, lietotājam un videi saudzīgās īpašības), kā arī izpētītas inovatīvo produktu vai procesu tehniskās un ekonomiskās īstenošanas iespējas. Inovācija tehnoloģijā ietver būtiskas izmaiņas tehnoloģiskajā procesā, iekārtās un programmatūrā, lai uzlabotu ražošanas procesu vai ražošanas metodes, un tās ieviešana nodrošina jaunu produktu ražošanu vai ražošanas procesa ievērojamu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5.6. punktā minētais jēdziens “ievērojami” ir subjektīvs un šī jēdziena interpretācijai ir tieša ietekme uz finansējuma saņēmēju. Lai nodrošinātu iepriekš minētā punkta nepārprotamu izpratni un vienveidīgu piemērošanu praksē, lūdzam precizēt minēto punktu, precīzāk norādot, kādā gadījumā produkti ir uzskatāmi par ievērojami izlabotiem, vai alternatīvi lūdzam papildināt noteikumu projekta anotāciju ar atbilstošu skaidrojumu, kā paredzēts vērtēt attiecīgās inovācijas uzlabojumus.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Noteikumu projekta terminos “inovācija” un “jauns produkts” (5.6. un 5.7. apakšpunkts) lietotais jēdziens “būtiski uzlabojumi” nozīmē, piemēram, jaunu funkciju pievienošanu, funkcionālo īpašību un lietojuma uzlabošanu, tai skaitā kvalitātes paaugstināšanu, finansiālo pieejamību, lietojamības, ērtuma uzlabošanu, ekonomiskāku izmantošanu, izturības palielināšanu, produkta dzīves ilguma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jauns produkts – prece, metode vai pakalpojums, kas ir pilnīgi jauns vai kam ir būtiski uzlabotas funkcionālās īpašības vai mainīts paredzamais lietošanas veids, tai skaitā mainīti vai uzlaboti tehniskie parametri, sastāvdaļas, materiāli, pievienotā programmatūra vai lietotājam ērtas īpašības. Jaunām iekārtām vai paplašinājumiem jābūt ar būtiskiem specifikācijas uzlabojumiem. Par jaunu produktu neuzskata: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5.7.punktā minētais jēdziens “būtisks” ir subjektīvs un šī jēdziena interpretācijai ir tieša ietekme uz finansējuma saņēmēju. Lai nodrošinātu iepriekš minētā punkta nepārprotamu izpratni un vienveidīgu piemērošanu praksē, lūdzam precizēt minēto punktu, precīzāk norādot, kāds funkcionālas īpašības ir uzskatāmas par būtiski uzlabotām, vai alternatīvi lūdzam papildināt noteikumu projekta anotāciju ar atbilstošu skaidrojumu, kā paredzēts vērtēt attiecīgās funkcionāls īpašības būtiskumu.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Noteikumu projekta terminos “inovācija” un “jauns produkts” (5.6. un 5.7. apakšpunkts) lietotais jēdziens “būtiski uzlabojumi” nozīmē, piemēram, jaunu funkciju pievienošanu, funkcionālo īpašību un lietojuma uzlabošanu, tai skaitā kvalitātes paaugstināšanu, finansiālo pieejamību, lietojamības, ērtuma uzlabošanu, ekonomiskāku izmantošanu, izturības palielināšanu, produkta dzīves ilguma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intervencē nepiešķir jau uzsāktu projektu īstenošanai, individuālajiem pētniecības projektiem, intelektuālā īpašuma tiesību projektiem, fundamentāliem pētījumiem un priekšizpētei. Intervencē netiek atbalstīti ieguldījumi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atbalstu intrvence nepiešķir intelektuālā īpašuma tiesību projektiem. Norādām, ka EIP darba grupu mērķis ir uz inovāciju vērstu projektu īstenošana lauksaimniecības, mežsaimniecības un lauksaimniecības produktu pārstrādes nozarē, atbalstot tādu projektu īstenošanu, kas paredz inovatīvus risinājumus nozarē, kā arī jaunu produktu, metožu, procesu un tehnoloģiju izstrādi nozarē, aptverot plašu gala labuma guvēju loku, vai saimniecības līmenī. Attiecīgi mērķis ir atbalstīt jaunu produktu, procesu un tehnoloģiju izstrādi, kas var tikt uzskatīti par intelektuālā īpašuma objektiem. Ņemot vērā minēto, noteikumu projekta 8. punkts ir daļēji pretrunā pasākuma mērķim. Pamatojoties uz iepriekš minēto, lūdzam atbilstoši precizēt noteikumu projekta 8. punktu, salāgojot ar noteikumu projekta 20. punktā definēto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atbalsta pasākuma mērķis ir izstrādāt jaunus paņēmienus, produktus, jaunas pieejas, kuras ieviešot plaši praksē uzlabotu lauksaimniecisko, mežsaimniecības vai pārstrādes nozares darbību. Sniegtu risinājumus efektīvai resursu izmantošanai vai klimata pārmaiņu mazināšanai, augsnes kvalitātes uzlabošanai u.c. kopumā nozarei svarīgos jautājumos.  Tāpēc atbalsta saņemšanas nosacījumi paredz, ka projekta rezultātam ir  jābūt plaši izplatītam un izmantojamam jebkuram lauksaimniecības, mežsaimniecības vai pārstrādes nozarē iesaistītam saimnieciskās darbības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Intelektuālā īpašuma tiesību projekti norāda uz produkta, projekta rezultāta izstrādātāja aizsardzības tiesībām, kas var mazināt iespējas citiem nozarē iesaistītajiem izmantot projekta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Intervencē netiek atbalstīti ieguldījumi natūrā, kā arī atbalstu intervencē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projekta īstenošanas beigām (noslēguma pārskata iesniegšanas) izstrādāto jauno produktu, praksi, procesu vai tehnoloģiju var izmantot komerciāliem mērķiem. Projekta ietvaros izstrādātie digitālie risinājumi ir brīvi pieejami lietotājiem bez peļņas gūšanas.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9.punkta pirmajā teikumā norādīto, ka: "Pēc projekta īstenošanas beigām (noslēguma pārskata iesniegšanas) izstrādāto jauno produktu, praksi, procesu vai tehnoloģiju var izmantot komerciāliem mērķiem.", lūdzam noteikumu projektā nodrošināt to, ka ar pētniecības organizācijas starpniecību netiek piešķirts netiešs komercdarbības atbalsts iesaistītajiem uzņēmumiem. Vēršam uzmanību, ka atbilstoši EK nostādņu 29. un 30.punktā norādītajam, pētniecības organizācijai par tās aktīvu atsavināšanu ir jāsaņem vismaz tirgus cena.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projekta īstenošanas beigām (noslēguma pārskata iesniegšanas) radīto jauno produktu, praksi, procesu vai jauno tehnoloģiju var izmantot komerciāliem mērķiem. Projektā radītie digitālie risinājumi ir brīvi pieejami lietotājiem, un tos var brīvi izplatīt bez ekskluzivitātes un diskriminēšanas, piemēram, izmantojot mācīšanu, brīvas piekļuves datubāzes, atklātās publikācijas vai atklātā pirmkoda programmatūru, un no tiem nevar gūt peļņu.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Pēc projekta īstenošanas beigām (noslēguma pārskata iesniegšanas) izstrādāto jauno produktu, praksi, procesu vai tehnoloģiju var izmantot komerciāliem mērķiem. Projekta ietvaros izstrādātie digitālie risinājumi ir brīvi pieejami lietotājiem bez peļņas gūšanas.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9.punkta otrais teikums neatbilst EK nostādņu 20.punkta a) iii) punktam, kas paredz, ka par darbībām bez saimnieciska rakstura var uzskatīt pētniecības organizāciju darbības, kas ietver pētniecības rezultātu plašu izplatīšanu bez ekskluzivitātes un diskriminēšanas, piemēram, izmantojot mācīšanu, brīvas piekļuves datubāzes, atklātās publikācijas vai atklātā pirmkoda programmatūru. Lūdzam nodrošināt noteikumu projekta 9.punkta atbilstību minētajam nosacījumam.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projekta īstenošanas beigām (noslēguma pārskata iesniegšanas) radīto jauno produktu, praksi, procesu vai jauno tehnoloģiju var izmantot komerciāliem mērķiem. Projektā radītie digitālie risinājumi ir brīvi pieejami lietotājiem, un tos var brīvi izplatīt bez ekskluzivitātes un diskriminēšanas, piemēram, izmantojot mācīšanu, brīvas piekļuves datubāzes, atklātās publikācijas vai atklātā pirmkoda programmatūru, un no tiem nevar gūt peļņu.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Projektam paredzēto piegāžu vai pakalpojumu iepirkumā ievēro normatīvo aktu prasības par iepirkuma procedūras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ekonomiskās priekšrocības preču piegādātājiem un pakalpojumu sniedzējiem, tādējādi novēršot tiem komercdarbības atbalsta piešķiršanas risku, tie būtu jāizraugās atklātā, pārredzamā, nediskriminējošā un konkurenci nodrošinošā procedūrā. Lūdzam papildināt noteikumu punktu ar nosacījumu, ka projektam paredzēto piegāžu vai pakalpojumu iepirkumā ievēro normatīvo aktu prasības par iepirkuma procedūras piemērošanu,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Projektam paredzēto piegāžu vai pakalpojumu iepirkumā ievēro normatīvo aktu prasības par iepirkuma procedūras piemērošanu, īstenojot atklātu, pārredzamu, nediskriminējošu un konkurenci nodrošinošu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Komisijas 2014. gada 17. jūnija Regulas (ES) Nr. 651/2014, ar ko noteiktas atbalsta kategorijas atzīst par saderīgām ar iekšējo tirgu, piemērojot Līguma 107. un 108. pantu (turpmāk – regula Nr. 651/2014), 2. panta 24. punktā vai 1. pielikumā noteiktajai definīcijai. iestādēm atbalstu  šajā intervencē nepiešķir. Valsts iestādēm atbalstu  šajā intervencē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skaidrots, ka "finansējuma saņēmējiem piešķirtais atbalsts saskaņā ar šo noteikumu prasībām netiek kvalificēts kā komercdarbības atbalsts (Komisijas paziņojums “Pētniecībai, izstrādei un inovācijai piešķiramā valsts atbalsta nostādnes” (2022/C 414/01), tad intervencei valsts atbalsta normas netiek piemērotas.", nav skaidrs šā punkta mērķis. Vēršam uzmanību, ka atbalsts, ar saimniecisku raksturu nesaistītām pētniecības organizācijas un pētniecības infrastruktūras pamatdarbībām var tikt sniegts tikai tādiem subjektiem, kas atbilst EK nostādņu 16. punkta ff) apakšpunktā ietvertajai “pētniecības un zināšanu izplatīšanas organizācija” definīcijai. Ja atbalsta programmas izstrādātājs plāno atbalstu sniegt saimnieciskās darbības veicējiem, lūdzam noteikumu noteikumu projektā ietvert komercdarbības atbalsta kontroles regulējuma normas, piemēram, Regulas (ES) Nr. 651/2014 (2014. gada 17. jūnijs), ar ko noteiktas atbalsta kategorijas atzīst par saderīgām ar iekšējo tirgu, piemērojot Līguma 107. un 108. pantu, 25.panta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regulas 2022/2472 2. panta 34. punktā vai 1. pielikumā noteiktajai definīcijai. Valsts iestādēm atbalstu šajā intervencē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pretendents ir potenciālā EIP darba grupa, kas apvieno lauksaimniekus, mežsaimniekus, lauksaimniecības produktu pārstrādātājus, lauksaimniecības, mežsaimniecības vai lauksaimniecības produktu pārstrādes nozares nevalstisko organizāciju vai kooperatīvu pārstāvjus, konsultantus, pētniekus, tai skaitā studentus, vai citas inovācijā ieinteresētās puses. Dalībnieku izvēle pamatota ar projekta darbībām un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21.punktā noteiktie atbalsta pretendenti neatbilst anotācijā iekļautajam skaidrojumam par to, kāpēc šīs intervences ietvaros piešķirtais atbalsts nekvalificējas kā komercdarbības atbalsts. Skaidrojam, ka saskaņā ar Komisijas paziņojuma "Pētniecībai, izstrādei un inovācijai piešķiramā valsts atbalsta nostādnes" (2022/C 414/01) (turpmāk - EK nostādnes) 20.punktu, projekts var būt nesaimniecisks, ja atbalsta saņēmējs ir  pētniecības un zināšanu izplatīšanas organizācija (definēta 16.punkta (ff) apakšpunktā) vai pētniecības infrastruktūra (definēta EK nostādņu 16.punkta (gg) apakšpunktā). Ņemot vērā to, ka šā brīža piedāvātā MK noteikumu redakcija neizslēdz, ka saimnieciskās darbības veicēji (uzņēmumi) gūs ekonomisko priekšrocību, lūdzam MK noteikumu projektā ietvert komercdarbības atbalsta kontroles regulējuma normas, piemēram, Regulas (ES) Nr. 651/2014 (2014. gada 17. jūnijs), ar ko noteiktas atbalsta kategorijas atzīst par saderīgām ar iekšējo tirgu, piemērojot Līguma 107. un 108. pantu, 25.panta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Atbalsta pretendents ir potenciālā darba grupa, kurā efektīvi sadarbojas lauksaimnieki, mežsaimnieki, lauksaimniecības produktu pārstrādātāji, lauksaimniecības, mežsaimniecības vai lauksaimniecības produktu pārstrādes nozares nevalstisko organizāciju vai kooperatīvu pārstāvji, konsultanti, pētniecības organizācijas, tostarp studenti, vai citas inovācijā ieinteresētās puses. Dalībnieku izvēle ir pamatota ar projekta darbībām un mērķiem.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īstenošanas rezultātā labuma guvēji no tā īstenošanas galvenokārt ir primārie ražotāji lauksaimniecības un mežsaimniecības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25.punktā noteiktie labuma guvēji neatbilst anotācijā iekļautajam skaidrojumam par to, kāpēc šīs intervences ietvaros piešķirtais atbalsts nekvalificējas kā komercdarbības atbalsts. Skaidrojam, ka saskaņā ar  EK nostādņu 20.punktu, projekts var būt nesaimniecisks, ja atbalsta saņēmējs ir  pētniecības un zināšanu izplatīšanas organizācija (definēta 16.punkta (ff) apakšpunktā) vai pētniecības infrastruktūra (definēta EK nostādņu 16.punkta (gg) apakšpunktā). Ņemot vērā to, ka šā brīža piedāvātā MK noteikumu redakcija neizslēdz, ka saimnieciskās darbības veicēji (uzņēmumi), t.sk. gala labuma guvēji, gūs ekonomisko priekšrocību, lūdzam MK noteikumu projektā ietvert komercdarbības atbalsta kontroles regulējuma normas, piemēram, Regulas (ES) Nr. 651/2014 (2014. gada 17. jūnijs), ar ko noteiktas atbalsta kategorijas atzīst par saderīgām ar iekšējo tirgu, piemērojot Līguma 107. un 108. pantu, 25.panta nosacījumus. Ievērojot minēto, lūdzam pārskatīt un precizēt MK noteikumu projektu pēc būtības, atbilstoši komercdarbības atbalsta kontroles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Labuma guvēji no projekta īstenošanas galvenokārt ir primārie ražotāji lauksaimniecības un mežsaimniecības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ietver projekta rezultātu izmantošanas, ieviešanas, kā arī publicitātes nosacījumus, tai skaitā zināšanu un tehnoloģiju pārneses nosacījumus, eksperimentālo objektu izmantošanas un ieviešanas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termina "zināšanu un tehnoloģiju pārnese" skaidrojumu atbilstoši Ministru kabineta 2009. gada 3. februāra noteikumu Nr. 108 ''Normatīvo aktu projektu sagatavošanas noteikumi'' 3.4. nodaļas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ietver projekta rezultātu izmantošanas, ieviešanas, kā arī publicitātes nosacījumus, tostarp zināšanu izplatīšanas, eksperimentālo objektu izmantošanas un ieviešanas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kāds no sadarbības partneriem pārtrauc savu darbību EIP darba grupā, to aizvieto ar citu līdzvērtīgu partneri, kas pārņem aizstājamā sadarbības partnera saistības un pienākumus. Partneru skaits EIP darba grupā nav samazināms.  Produktīvas investīcijas īpašnieks nav tiesīgs pārtraukt savu darbību EIP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paredzēts regulējums gadījumiem, kad produktīvas investīcijas īpašnieks pārtrauc savu darbību EIP darba grupā. Ja šāds regulējums nav, tad lūdzam izvērtēt lietderību papildināt noteikumu projektu ar minēto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kāds no sadarbības partneriem pārtrauc savu darbību darba grupā, to aizvieto ar citu līdzvērtīgu partneri, kas pārņem aizstājamā sadarbības partnera saistības un pienākumus. Produktīvas investīcijas īpašnieks, kas jau ir iegādājies produktīvās investīcijas un vēlas izstāties no darba grupas, atmaksā izmaksāto finansējumu par produktīvo investīciju, ja neviens no partneriem nepārņem saistības par produktīvo investīciju. Partneru skaits darba grupā nav samazināms.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EIP darba grupa pēc projekta apstiprināšanas Lauku atbalsta dienestā iesniedz projekta kopsavilkumu, tostarp arī angļu valodā, kuru Zemkopības ministrija nosūta Eiropas Komisijai saskaņā ar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13.pantu.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38. punktā lietotos vārdus "tostarp arī angļu valodā", pamatojoties uz Latvijas Republikas Satversmes 4. un 90.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projektu rezultātus un kopsavilkumu paredzēts publicēt Eiropas Komisijas datu bāzē, tad ir svarīgi projekta izstrādātājiem sagatavot informāciju arī angļu valodā, lai nodrošinātu specifisku terminu precīzu tulkojumu un nerastos domstarpības starp Eiropas Komisijas datu bāzes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izstrādātājiem jāieraksta informācija jau sagatavotā kopsavilkuma formā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Darba grupa pēc projekta apstiprināšanas Lauku atbalsta dienestā iesniedz projekta kopsavilkumu, tostarp angļu valodā, un Zemkopības ministrija to nosūta Eiropas Komisijai saskaņā ar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13.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veicinātu projekta rezultātu izmantošanu praksē, pēc projekta īstenošanas informācija par projekta rezultātiem publiska un brīvi pieejama. Par informācijas publiskošanas pasākumu paziņo Lauku atbalsta dienestam un EIP tīkla Sekretariātam vismaz 10 kalendārās dienas pirms aktivitātes un pēc tās attiecīgi iesniedz pasākuma pamatojuma materiālus Lauku atbalsta dienestā un EIP tīkla Sekretariātā.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kam jānodrošina noteikumu projekta 41.punktā minētās informācijas publicitāte un pieejamība, kā arī, kā personai būs janodrošina projekta īstenošanas informācija par projekta rezultātiem (publiska un brīvi pieejama). Atbilstoši lūdzam precziēt šo punktu, nodrošinot, ka tajā noteiktie pienēkumi ir viennozīmīgi un skaidri saprotami. Papildus lūdzam izvērtēt nepieciešamību papildināt punktu ar termiņu, kādā minētā informācija ir jāpadara publiska un brīvi pieejama.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veicinātu projekta rezultātu izmantošanu praksē, pēc projekta īstenošanas vadošais partneris nodrošina, ka informācija par projekta rezultātiem ir publiska un brīvi pieejama, prezentējot savu projektu ne vēlāk kā viena mēneša laikā pēc projekta pabeigšanas. Vadošais partneris informācijas publiskošanas pasākumu izziņo publiski, kā arī paziņo Lauku atbalsta dienestam un Eiropas Inovāciju partnerības tīkla Sekretariātam vismaz 10 darbdienas pirms pasākuma un pēc tā pasākuma pamatojuma materiālus iesniedz Lauku atbalsta dienestā un Eiropas Inovāciju partnerības tīkla Sekretariātā.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52.1.9. tehnikas, iekārtu un to aprīkojuma iegādes izmaksas, nepārsniedzot 30 procentus no attiecināmo izmaksu kopsummas, ja to izmanto tikai projekta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52.1.9. apakšpunktā ietvertais regulējums par izmaksām, iespējams, dublē noteikumu projekta 51.1.6. apakšpunktā ietverto regulējumu. Attiecīgi iesakām izvērtēt, vai noteikumu projekta 52.1.9. apakšpunkts ir izteikts atbilstoši Ministru kabineta 2009. gada 3. februāra noteikumu Nr. 108 "Normatīvo aktu projektu sagatavošanas noteikumi" 3.2. un 3.3. apakšpunktam un neatbilstības gadījumā veikt attiecīgus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52.1.6. apakšpunkta attiecināmās izmaksas ir par gadījumiem, kad tehniku, iekārtu un to aprīkojuma vēlas nomāt, savukārt 52.1.9. apakšpunkts attiecas uz situāciju, kad tehniku, iekārtu un to aprīkojuma vēlas iegādāties.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52.1.9. un 52.1.6. apakšpunktos ietvertais regulējums nedublējas.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53.1.9. tehnikas, iekārtu un to aprīkojuma iegādes izmaksas, nepārsniedzot 30 procentus no attiecināmo izmaksu kopsummas, ja tos izmanto tikai projekta mērķu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atbalsta saņēmējs projekta īstenošanas periodā vai piecu gadu laikā pēc projekta īstenošanas termiņa beigām pēc pēdējā maksājuma saņemšanas savā saimnieciskajā darbībā izmanto šo noteikumu </w:t>
            </w:r>
            <w:r w:rsidR="00000000" w:rsidRPr="00000000" w:rsidDel="00000000">
              <w:rPr>
                <w:rtl w:val="0"/>
              </w:rPr>
              <w:t xml:space="preserve">52.1.9. </w:t>
            </w:r>
            <w:r w:rsidR="00000000" w:rsidRPr="00000000" w:rsidDel="00000000">
              <w:rPr>
                <w:rtl w:val="0"/>
              </w:rPr>
              <w:t xml:space="preserve">apakšpunktā</w:t>
            </w:r>
            <w:r w:rsidR="00000000" w:rsidRPr="00000000" w:rsidDel="00000000">
              <w:rPr>
                <w:rtl w:val="0"/>
              </w:rPr>
              <w:t xml:space="preserve"> minētās iekārtas ieņēmumu gūšanai, Lauku atbalsta dienests pieprasa atmaksāt pārmaksāto atbalstu par ieguldītajām investīcijām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63.punktā aprakstītais gadījums potenciāli ir kvalificējams kā nelikumīgs komercdarbības atbalsts, kas ir atgūstams atbilstoši Komercdarbības atbalsta kontroles likuma IV vai V nodaļas nosacījumiem. Attiecīgi lūdzam precizēt noteikumu projekta 63.punktu, kā arī papildināt noteikumu projektu ar nosacījumu, ka gadījumā, ja šo noteikumu ietvaros īstenotais projekts kļūst ar saimniecisko darbību saistīts projekts, kuram piešķirtais atbalsts kvalificējas kā komercdarbības atbalsts, atbalsta saņēmējam ir pienākums atmaksāt atbalsta sniedzējam visu projekta ietvaros saņemto publisko finansējumu kopā ar procentiem no līdzekļiem, kas brīvi no komercdarbības atbalsta, atbilstoši Komercdarbības atbalsta kontroles likuma IV vai V nodaļas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atbalsta saņēmējs projekta īstenošanas periodā vai piecu gadu laikā pēc projekta īstenošanas termiņa beigām pēc pēdējā maksājuma saņemšanas savā saimnieciskajā darbībā izmanto šo noteikumu </w:t>
            </w:r>
            <w:r w:rsidR="00000000" w:rsidRPr="00000000" w:rsidDel="00000000">
              <w:rPr>
                <w:rtl w:val="0"/>
              </w:rPr>
              <w:t xml:space="preserve">53.1.9. </w:t>
            </w:r>
            <w:r w:rsidR="00000000" w:rsidRPr="00000000" w:rsidDel="00000000">
              <w:rPr>
                <w:rtl w:val="0"/>
              </w:rPr>
              <w:t xml:space="preserve">apakšpunktā</w:t>
            </w:r>
            <w:r w:rsidR="00000000" w:rsidRPr="00000000" w:rsidDel="00000000">
              <w:rPr>
                <w:rtl w:val="0"/>
              </w:rPr>
              <w:t xml:space="preserve"> minētās iekārtas ieņēmumu gūšanai, Lauku atbalsta dienests pieprasa atmaksāt pārmaksāto atbalstu par ieguldītajām investīcijām (iekārtām).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1. tabulu papildināt ar MK noteikumu projekta 52.punkta izvērtējumu (katram apakšpunktam atsevišķi) pret EK nostādnēm, lai gūtu pārliecību, ka MK noteikumos ietvertās attiecināmās izmaksas atbilst piemērojamajam komercdarbības atbalsta kontroles regulējumam, t.i. EK nostādnēm.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Piemērota regula 2022/2472, līdz ar to atsauce uz EK nostādnēm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Eiropas Inovāciju partnerības darba grupa – darba grupa, kuru izveidojuši sadarbības partneri, lai īstenotu projektus, kas sekmē EIP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"Eiropas Inovāciju partnerības" noteikt, ka turpmāk tiks izmantota abreviatūra "EIP".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Inovāciju partnerības (turpmāk - EIP) darba grupa – darba grupa, kuru izveidojuši sadarbības partneri, lai īstenotu projektus, kas sekmē EIP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1.punktā ir izmantota abreviatūra "EIP"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 vadošais partneris – darba grupas partneris, kas ir tiesīgs pārstāvēt sadarbības partnerus, iesniegt projekta iesniegumu Lauku atbalsta dienestā, saņemt atbalstu, kā arī vadīt un koordinēt projekta īstenošanu un nodrošināt priekšapmaksas tālāku novirzīšanu sadarbības partneriem atbilstoši to īstenotajām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"Lauku atbalsta dienestā" noteikt, ka turpmāk tiks izmantota abreviatūra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vadošais partneris – darba grupas partneris, kas ir tiesīgs pārstāvēt sadarbības partnerus, iesniegt projekta iesniegumu Lauku atbalsta dienestā (turpmāk - LAD), saņemt atbalstu, kā arī vadīt un koordinēt projekta īstenošanu un nodrošināt priekšapmaksas tālāku novirzīšanu sadarbības partneriem atbilstoši to īstenotajām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projekta iesniedzējs vai ar to saistītās personas ir īstenojušas, īsteno vai plāno īstenot citus projektus saistībā ar šajā projektā paredzēto eksperimentālo tehnoloģiju vai rūpniecisko pētījumu, projekta iesniegumā tiek norādīta informācija par visiem projektiem un skaidrota dubultā finansējuma riska novēršana.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dzēst "projekta iesniedzējs" vārdu lietojumu, to aizstājot ar atbilstošu terminu, korekti norādot, kas iesniedz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vadošais partneris un sadarbības partneri ir īstenojuši, īsteno vai plāno īstenot citus projektus, projekta iesniegumā norāda informāciju par visiem projektiem un skaidro dubultā finansējuma riska novēršanu, kas ir saistīti ar šajā projektā paredzēto: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projekta iesniedzējs vai ar to saistītās personas ir īstenojušas, īsteno vai plāno īstenot citus projektus saistībā ar šajā projektā paredzēto eksperimentālo tehnoloģiju vai rūpniecisko pētījumu, projekta iesniegumā tiek norādīta informācija par visiem projektiem un skaidrota dubultā finansējuma riska novēršana.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vai tā anotāciju papildināt ar demarkāciju ar Ekonomikas ministrijas atbalsta programmām Atveseļošanas fonda ietvaros (1.2.1.2.i. 2.p., 2.2.1.3.i. un 5.1.1.2.i. investīcijām), kā arī Eiropas Savienības kohēzijas politikas programmas 2021.-2027. gadam 1.2.1.1. pasākumu līmenī, kā arī apzināt un iekļaut demarkāciju pret Izglītības un zinātnes ministrijas piedāvātajiem atbalsta pasākumiem pētniecībai.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vadošais partneris un sadarbības partneri ir īstenojuši, īsteno vai plāno īstenot citus projektus, projekta iesniegumā norāda informāciju par visiem projektiem un skaidro dubultā finansējuma riska novēršanu, kas ir saistīti ar šajā projektā paredzēto: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partneris iesaistās projekta īstenošanā ar savā valdījumā vai īpašumā esošu mantu, intelektuālo īpašumu, finansējumu vai cilvēkresursiem. Šādu ieguldījumu dēļ finansējuma saņēmējam ar sadarbības partneri nevar rasties tādas tiesiskās attiecības, no kurām izrietētu, ka šis darījums atbilst publiska iepirkuma līguma pazīmēm vai ka darījumam jāpiemēro normatīvie akti par iepirkuma procedūru un tās piemērošanas kārtību pasūtītāja finansētiem projektiem. Sadarbības partneri savā starpā nevar norēķināties par sniegto pakalpojumu un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ko noteikumu projektā saprotams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Sadarbības partneris iesaistās projekta īstenošanā ar savā valdījumā vai īpašumā esošu mantu, intelektuālo īpašumu, finansējumu vai cilvēkresursiem. Šādu ieguldījumu dēļ starp sadarbības partneriem nevar rasties tādas tiesiskās attiecības, no kurām izrietētu, ka šis darījums atbilst publiska iepirkuma līguma pazīmēm vai ka darījumam jāpiemēro normatīvie akti par iepirkuma procedūru un tās piemērošanas kārtību pasūtītāja finansētiem projektiem, proti, sadarbības partneri savā starpā nevar norēķināties par sniegto pakalpojumu un precēm.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Komisijas 2014. gada 17. jūnija Regulas (ES) Nr. 651/2014, ar ko noteiktas atbalsta kategorijas atzīst par saderīgām ar iekšējo tirgu, piemērojot Līguma 107. un 108. pantu (turpmāk – regula Nr. 651/2014), 2. panta 24. punktā vai 1. pielikumā noteiktajai definīcijai. Valsts iestādēm atbalstu  šajā intervencē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 noteikumu ietvaros komercdarbības atbalstu sniedz saskaņā ar </w:t>
            </w:r>
            <w:r w:rsidR="00000000" w:rsidRPr="00000000" w:rsidDel="00000000">
              <w:rPr>
                <w:i w:val="1"/>
                <w:rtl w:val="0"/>
              </w:rPr>
              <w:t xml:space="preserve">Komisijas Regulu (ES) 2022/2472 (2022. gada 14. decembris),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(turpmāk - regula 2022/2472), nevis </w:t>
            </w:r>
            <w:r w:rsidR="00000000" w:rsidRPr="00000000" w:rsidDel="00000000">
              <w:rPr>
                <w:i w:val="1"/>
                <w:rtl w:val="0"/>
              </w:rPr>
              <w:t xml:space="preserve">Komisijas 2014. gada 17. jūnija Regulu (ES) Nr. 651/2014, ar ko noteiktas atbalsta kategorijas atzīst par saderīgām ar iekšējo tirgu, piemērojot Līguma 107. un 108. pantu</w:t>
            </w:r>
            <w:r w:rsidR="00000000" w:rsidRPr="00000000" w:rsidDel="00000000">
              <w:rPr>
                <w:rtl w:val="0"/>
              </w:rPr>
              <w:t xml:space="preserve"> (turpmāk – regula Nr. 651/2014), lūdzam aizstāt 15.punktā ietvertās atsauces uz regulu Nr. 651/2014 ar atsaucēm uz regulu 2022/2472. Vēršam uzmanību, ka arī regulā 2022/2472 ir sniegta lielā uzņēmuma, mikrouzņēmumu, mazo un vidējo uzņēmumu definīcija.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regulas 2022/2472 2. panta 34. punktā vai 1. pielikumā noteiktajai definīcijai. Valsts iestādēm atbalstu šajā intervencē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Komisijas 2014. gada 17. jūnija Regulas (ES) Nr. 651/2014, ar ko noteiktas atbalsta kategorijas atzīst par saderīgām ar iekšējo tirgu, piemērojot Līguma 107. un 108. pantu (turpmāk – regula Nr. 651/2014), 2. panta 24. punktā vai 1. pielikumā noteiktajai definīcijai. iestādēm atbalstu  šajā intervencē nepiešķir. Valsts iestādēm atbalstu  šajā intervencē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saprotams ar vārdiem "iestādēm atbalstu  šajā intervencē nepiešķir".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Vadošais partneris un sadarbības partneri neatkarīgi no sava juridiskā statusa (publisko vai privāto tiesību subjekts) vai saimnieciskās darbības veida (peļņu gūstoša vai bezpeļņas institūcija) publiskā finansējuma saņemšanai kvalificējami kā saimnieciskās darbības veicēji atbilstoši regulas 2022/2472 2. panta 34. punktā vai 1. pielikumā noteiktajai definīcijai. Valsts iestādēm atbalstu šajā intervencē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inētajā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26.punktā vārda "inētajā" drukas kļūda, lūdzam labot uz "minētajā"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22.2. apakšpunktā minētajā sadarbības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 sadarbības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kārtības anotāciju ar informāciju, kādos Tehnoloģiju gatavības līmeņos (TRL) plānots atbalstīt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"Cita informācija" papildināt pirmo teikumu, norādot, ka nepieciešamo finansējumu noteikumu projektā plānoto pasākumu īstenošanai Zemkopības ministrija pieprasīs normatīvajos aktos noteiktajā kārtībā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23-TA-410</w:t>
    </w:r>
    <w:r>
      <w:br/>
    </w:r>
    <w:r w:rsidR="00000000" w:rsidRPr="00000000" w:rsidDel="00000000">
      <w:rPr>
        <w:rtl w:val="0"/>
      </w:rPr>
      <w:t xml:space="preserve">14.10.2023. 23.16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23-TA-410</w:t>
    </w:r>
    <w:r>
      <w:br/>
    </w:r>
    <w:r w:rsidR="00000000" w:rsidRPr="00000000" w:rsidDel="00000000">
      <w:rPr>
        <w:rtl w:val="0"/>
      </w:rPr>
      <w:t xml:space="preserve">14.10.2023. 23.16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Izziņa_23-TA-410.docx</dc:title>
</cp:coreProperties>
</file>

<file path=docProps/custom.xml><?xml version="1.0" encoding="utf-8"?>
<Properties xmlns="http://schemas.openxmlformats.org/officeDocument/2006/custom-properties" xmlns:vt="http://schemas.openxmlformats.org/officeDocument/2006/docPropsVTypes"/>
</file>