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25-TA-2372: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(16.05.2025.)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07.05.2026. 17:57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sadaļā skaidrots, ka papildus izteiktajā noteikumu 61.</w:t>
            </w:r>
            <w:r w:rsidR="00000000" w:rsidRPr="00000000" w:rsidDel="00000000">
              <w:rPr>
                <w:vertAlign w:val="superscript"/>
                <w:rtl w:val="0"/>
              </w:rPr>
              <w:t xml:space="preserve">15</w:t>
            </w:r>
            <w:r w:rsidR="00000000" w:rsidRPr="00000000" w:rsidDel="00000000">
              <w:rPr>
                <w:rtl w:val="0"/>
              </w:rPr>
              <w:t xml:space="preserve"> apakšpunktā tiek noņemta papildu prasība, ka jaunuzņēmums var saņemt avansa maksājumu tādā gadījumā, "ja minētais jaunuzņēmums iesniedz finansējuma saņēmējam parakstītu investīciju līgumu", tādējādi atbalstot zinātņietilpīgos jaunuzņēmumus ar </w:t>
            </w:r>
            <w:r w:rsidR="00000000" w:rsidRPr="00000000" w:rsidDel="00000000">
              <w:rPr>
                <w:b w:val="1"/>
                <w:rtl w:val="0"/>
              </w:rPr>
              <w:t xml:space="preserve">50% avansa maksājumu</w:t>
            </w:r>
            <w:r w:rsidR="00000000" w:rsidRPr="00000000" w:rsidDel="00000000">
              <w:rPr>
                <w:rtl w:val="0"/>
              </w:rPr>
              <w:t xml:space="preserve">, izslēdzot papildu prasību. Tā kā ar noteikumu projekta grozījumiem tiek izslēgta ne tikai papildu prasība, bet arī palielināts avansa maksājuma slieksnis no 35 % uz 50 %, tad aicinām izvērtēt iespēju skaidrībai anotāciju papildināt ar skaidrojumu par šāda avansa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problēmu risinājumi 7. punkts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Vienlaikus ar prasības izslēgšanu 61.15 apakšpunktā, ka jaunuzņēmumam avansa maksājuma saņemšanai jāiesniedz finansējuma saņēmējam parakstīts investīciju līgums, tiek palielināts arī avansa maksājuma apmērs līdz 50 %. Avansa maksājuma apmēra palielinājums ir pamatots ar to, ka zinātņietilpīgo jaunuzņēmumu projektiem raksturīgas augstas sākotnējās izmaksas (t.sk. pētniecības, prototipēšanas un tehnoloģiju izstrādes izmaksas), kā arī ierobežotas iespējas piesaistīt ārējo finansējumu agrīnās attīstības stadijā. Attiecīgi lielāks avansa maksājums nodrošina nepieciešamos finanšu līdzekļus projekta uzsākšanai un samazina risku, ka projektu īstenošana tiek aizkavēta nepietiekama finansējuma dēļ. Prasības par parakstīta investīciju līguma iesniegšanu izslēgšana samazina administratīvo slogu un paātrina avansa maksājuma saņemšanu.</w:t>
            </w:r>
            <w:r w:rsidR="00000000" w:rsidRPr="00000000" w:rsidDel="00000000">
              <w:rPr>
                <w:i w:val="1"/>
                <w:rtl w:val="0"/>
              </w:rPr>
              <w:t xml:space="preserve">Ņemot vērā minēto, grozījumi uzlabo atbalsta efektivitāti un pieejamību zinātņietilpīgajiem jaunuzņēmumiem.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Šo noteikumu </w:t>
            </w:r>
            <w:r w:rsidR="00000000" w:rsidRPr="00000000" w:rsidDel="00000000">
              <w:rPr>
                <w:rtl w:val="0"/>
              </w:rPr>
              <w:t xml:space="preserve">36.1.</w:t>
            </w:r>
            <w:r w:rsidR="00000000" w:rsidRPr="00000000" w:rsidDel="00000000">
              <w:rPr>
                <w:rtl w:val="0"/>
              </w:rPr>
              <w:t xml:space="preserve">, </w:t>
            </w:r>
            <w:r w:rsidR="00000000" w:rsidRPr="00000000" w:rsidDel="00000000">
              <w:rPr>
                <w:rtl w:val="0"/>
              </w:rPr>
              <w:t xml:space="preserve">36.2.</w:t>
            </w:r>
            <w:r w:rsidR="00000000" w:rsidRPr="00000000" w:rsidDel="00000000">
              <w:rPr>
                <w:rtl w:val="0"/>
              </w:rPr>
              <w:t xml:space="preserve">, </w:t>
            </w:r>
            <w:r w:rsidR="00000000" w:rsidRPr="00000000" w:rsidDel="00000000">
              <w:rPr>
                <w:rtl w:val="0"/>
              </w:rPr>
              <w:t xml:space="preserve">36.3.</w:t>
            </w:r>
            <w:r w:rsidR="00000000" w:rsidRPr="00000000" w:rsidDel="00000000">
              <w:rPr>
                <w:rtl w:val="0"/>
              </w:rPr>
              <w:t xml:space="preserve">, </w:t>
            </w:r>
            <w:r w:rsidR="00000000" w:rsidRPr="00000000" w:rsidDel="00000000">
              <w:rPr>
                <w:rtl w:val="0"/>
              </w:rPr>
              <w:t xml:space="preserve">36.4.</w:t>
            </w:r>
            <w:r w:rsidR="00000000" w:rsidRPr="00000000" w:rsidDel="00000000">
              <w:rPr>
                <w:rtl w:val="0"/>
              </w:rPr>
              <w:t xml:space="preserve"> un 38.8. apakšpunktā minēto darbību izmaksas ir attiecināmas, ja tās nodrošina zinātniskā institūcija, kura atbilst vienam no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tehnisku kļūdu 41. punktā, aizstājot atsauci uz 38.8. apakšpunktu ar atsauci uz 36.8.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tehniskā kļūda noteikumu konsolidētajā versijā.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Šo noteikumu </w:t>
            </w:r>
            <w:r w:rsidR="00000000" w:rsidRPr="00000000" w:rsidDel="00000000">
              <w:rPr>
                <w:rtl w:val="0"/>
              </w:rPr>
              <w:t xml:space="preserve">36.1.</w:t>
            </w:r>
            <w:r w:rsidR="00000000" w:rsidRPr="00000000" w:rsidDel="00000000">
              <w:rPr>
                <w:rtl w:val="0"/>
              </w:rPr>
              <w:t xml:space="preserve">, </w:t>
            </w:r>
            <w:r w:rsidR="00000000" w:rsidRPr="00000000" w:rsidDel="00000000">
              <w:rPr>
                <w:rtl w:val="0"/>
              </w:rPr>
              <w:t xml:space="preserve">36.2.</w:t>
            </w:r>
            <w:r w:rsidR="00000000" w:rsidRPr="00000000" w:rsidDel="00000000">
              <w:rPr>
                <w:rtl w:val="0"/>
              </w:rPr>
              <w:t xml:space="preserve">, </w:t>
            </w:r>
            <w:r w:rsidR="00000000" w:rsidRPr="00000000" w:rsidDel="00000000">
              <w:rPr>
                <w:rtl w:val="0"/>
              </w:rPr>
              <w:t xml:space="preserve">36.3.</w:t>
            </w:r>
            <w:r w:rsidR="00000000" w:rsidRPr="00000000" w:rsidDel="00000000">
              <w:rPr>
                <w:rtl w:val="0"/>
              </w:rPr>
              <w:t xml:space="preserve">, </w:t>
            </w:r>
            <w:r w:rsidR="00000000" w:rsidRPr="00000000" w:rsidDel="00000000">
              <w:rPr>
                <w:rtl w:val="0"/>
              </w:rPr>
              <w:t xml:space="preserve">36.4.</w:t>
            </w:r>
            <w:r w:rsidR="00000000" w:rsidRPr="00000000" w:rsidDel="00000000">
              <w:rPr>
                <w:rtl w:val="0"/>
              </w:rPr>
              <w:t xml:space="preserve"> un 36.8. apakšpunktā minēto darbību izmaksas ir attiecināmas, ja tās nodrošina zinātniskā institūcija, kura atbilst vienam no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komercsabiedrība, organizācija vai institūcija, kuras dibināšanas dokumentos (statūtos) ir norāde, ka tā veic zinātnisko vai pētniecisko darbību un tās struktūrā ir zinātniskais personāls.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ielikt īsu aprakstu par noteikumu 41.3. apakšpunktā ietvertās prasības izpildes skaidru un pārbaudāmu pārbaudes mehānismu, piemēram, piedāvājam kā pārbaudes mehānismu izmantot Centrālās statistikas pārvaldes (CSP) pārskatu “Pārskats par pētniecības un attīstības darbu izpildi uzņēmējdarbības sektorā”, šajā pārskatā tiek uzskaitīti visi strādājošie pētniecības un attīstības (P&amp;A) jomā, tostarp arī zinātnieki. Minētais pārskats tiek iesniegts CSP vienu reizi gadā, un tajā ir iekļauta detalizēta informācija par P&amp;A personām, kas sniedz ticamu un praktisku pamatu šī nosacījuma pārbaudei. Tāpat ir iespējams palūgt komersanta pašapliecinājumu un komersants pats izvēlas, kādu pierādījuma dokumentu pievienot vai, piemēram, Latvijas Investīciju un attīstības aģentūra var pārbaudīt komersanta mājaslapā tā organizatorisko struktūru un konstatēt ir/nav tur zinātniskā personāla/nodaļa.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risinājuma apraksta sadaļas 2.1. punkts ir papildināts ar aprakstu par zinātniskā personāla pārbaudes mehānismiem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Savukārt, zinātniskā personāla esamības pārbaude var tikt veikta, balstoties uz Centrālās statistikas pārvaldes pārskatu “Pārskats par pētniecības un attīstības darbu izpildi uzņēmējdarbības sektorā”, kurā tiek uzskaitīti uzņēmumā nodarbinātie pētniecības un attīstības jomā strādājošie, tostarp zinātniskais personāls. Papildus var tikt izmantots komersanta pašapliecinājums par zinātniskā personāla esamību, kā arī publiski pieejamā informācija, piemēram, komersanta mājaslapā norādītā organizatoriskā struktūra, kas ļauj pārliecināties par attiecīgās kompetences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komercsabiedrība, organizācija vai institūcija, kuras dibināšanas dokumentos (statūtos) ir norāde, ka tā veic zinātnisko vai pētniecisko darbību un tās struktūrā ir zinātniskais personāls.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12</w:t>
            </w:r>
            <w:r w:rsidR="00000000" w:rsidRPr="00000000" w:rsidDel="00000000">
              <w:rPr>
                <w:rtl w:val="0"/>
              </w:rPr>
              <w:t xml:space="preserve">5. jaunuzņēmums, ja tā projekts tiek īstenots vismaz TRL8 līmenī, ir saņēmis no publiskiem līdzekļiem brīvas investīcijas vismaz 10 000 </w:t>
            </w:r>
            <w:r w:rsidR="00000000" w:rsidRPr="00000000" w:rsidDel="00000000">
              <w:rPr>
                <w:i w:val="1"/>
                <w:rtl w:val="0"/>
              </w:rPr>
              <w:t xml:space="preserve">euro </w:t>
            </w:r>
            <w:r w:rsidR="00000000" w:rsidRPr="00000000" w:rsidDel="00000000">
              <w:rPr>
                <w:rtl w:val="0"/>
              </w:rPr>
              <w:t xml:space="preserve">apmērā no investora, ar kuru noslēgts investīciju līgums, vai uzrāda savu finansiālo ieguldījumu;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šo apakšpunktu un  61.</w:t>
            </w:r>
            <w:r w:rsidR="00000000" w:rsidRPr="00000000" w:rsidDel="00000000">
              <w:rPr>
                <w:vertAlign w:val="superscript"/>
                <w:rtl w:val="0"/>
              </w:rPr>
              <w:t xml:space="preserve">12 </w:t>
            </w:r>
            <w:r w:rsidR="00000000" w:rsidRPr="00000000" w:rsidDel="00000000">
              <w:rPr>
                <w:rtl w:val="0"/>
              </w:rPr>
              <w:t xml:space="preserve"> 6. apakšpunktu izdalīt atsevišķi no 61.</w:t>
            </w:r>
            <w:r w:rsidR="00000000" w:rsidRPr="00000000" w:rsidDel="00000000">
              <w:rPr>
                <w:vertAlign w:val="superscript"/>
                <w:rtl w:val="0"/>
              </w:rPr>
              <w:t xml:space="preserve">12 </w:t>
            </w:r>
            <w:r w:rsidR="00000000" w:rsidRPr="00000000" w:rsidDel="00000000">
              <w:rPr>
                <w:rtl w:val="0"/>
              </w:rPr>
              <w:t xml:space="preserve"> apakšpunktiem, ņemot vērā, ka šo nosacījumu izpilde ir attiecināma tikai uz tiem jaunuzņēmumiem, kuru  projekts tiek īstenots vismaz TRL8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Izvērtējumā secināts, ka esošais regulējums jau nodrošina savstarpēji saistītu nosacījumu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12</w:t>
            </w:r>
            <w:r w:rsidR="00000000" w:rsidRPr="00000000" w:rsidDel="00000000">
              <w:rPr>
                <w:rtl w:val="0"/>
              </w:rPr>
              <w:t xml:space="preserve">5. jaunuzņēmums, ja tā projekts tiek īstenots vismaz TRL8 līmenī, ir saņēmis no publiskiem līdzekļiem brīvas investīcijas vismaz 10 000 </w:t>
            </w:r>
            <w:r w:rsidR="00000000" w:rsidRPr="00000000" w:rsidDel="00000000">
              <w:rPr>
                <w:i w:val="1"/>
                <w:rtl w:val="0"/>
              </w:rPr>
              <w:t xml:space="preserve">euro </w:t>
            </w:r>
            <w:r w:rsidR="00000000" w:rsidRPr="00000000" w:rsidDel="00000000">
              <w:rPr>
                <w:rtl w:val="0"/>
              </w:rPr>
              <w:t xml:space="preserve">apmērā no investora, ar kuru noslēgts investīciju līgums, vai uzrāda savu finansiālo ieguldījumu;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14</w:t>
            </w:r>
            <w:r w:rsidR="00000000" w:rsidRPr="00000000" w:rsidDel="00000000">
              <w:rPr>
                <w:rtl w:val="0"/>
              </w:rPr>
              <w:t xml:space="preserve">6. pētniecisko telpu (laboratoriju) nomas izmantošanas izmaksas un komunālie maksājumi līdz 5 000 </w:t>
            </w:r>
            <w:r w:rsidR="00000000" w:rsidRPr="00000000" w:rsidDel="00000000">
              <w:rPr>
                <w:i w:val="1"/>
                <w:rtl w:val="0"/>
              </w:rPr>
              <w:t xml:space="preserve">euro </w:t>
            </w:r>
            <w:r w:rsidR="00000000" w:rsidRPr="00000000" w:rsidDel="00000000">
              <w:rPr>
                <w:rtl w:val="0"/>
              </w:rPr>
              <w:t xml:space="preserve">mēnesī.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19.punktā izteiktā 61.146. apakšpunkta redakcijas izriet, ka projekta ietvaros tiek attiecinātas pētniecisko telpu (laboratoriju) nomas izmantošanas izmaksas un komunālie maksājumi līdz 5 000 euro mēnesī kā tiešās attiecināmās izmaksas. Aicinām papildināt noteikumu projekta anotāciju ar detalizētāku skaidrojumu, ka minētās izmaksas tiks attiecinātas tikai atsevišķos gadījumos, tas ir pēc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w:t>
            </w:r>
            <w:r w:rsidR="00000000" w:rsidRPr="00000000" w:rsidDel="00000000">
              <w:rPr>
                <w:u w:val="single"/>
                <w:rtl w:val="0"/>
              </w:rPr>
              <w:t xml:space="preserve">anotācijas </w:t>
            </w:r>
            <w:r w:rsidR="00000000" w:rsidRPr="00000000" w:rsidDel="00000000">
              <w:rPr>
                <w:rtl w:val="0"/>
              </w:rPr>
              <w:t xml:space="preserve">risinājuma apraksta 8. 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Noteikumi tiek papildināti ar 61.14.6. apakšpunktu, kas nosaka, ka pētniecisko telpu (laboratoriju) nomas izmantošanas izmaksas un komunālie maksājumi līdz 5 000 euro mēnesī var attiecināt kā tiešās attiecināmās izmaksas. </w:t>
            </w:r>
            <w:r w:rsidR="00000000" w:rsidRPr="00000000" w:rsidDel="00000000">
              <w:rPr>
                <w:b w:val="1"/>
                <w:i w:val="1"/>
                <w:rtl w:val="0"/>
              </w:rPr>
              <w:t xml:space="preserve">Vienlaikus paredzēts, ka minēto izmaksu attiecināmība tiek piemērota gadījumos, kad komersantam ir objektīva nepieciešamība pēc šāda atbalsta nodrošinājuma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14</w:t>
            </w:r>
            <w:r w:rsidR="00000000" w:rsidRPr="00000000" w:rsidDel="00000000">
              <w:rPr>
                <w:rtl w:val="0"/>
              </w:rPr>
              <w:t xml:space="preserve">6. pētniecisko telpu (laboratoriju) nomas izmantošanas izmaksas un komunālie maksājumi līdz 5 000 </w:t>
            </w:r>
            <w:r w:rsidR="00000000" w:rsidRPr="00000000" w:rsidDel="00000000">
              <w:rPr>
                <w:i w:val="1"/>
                <w:rtl w:val="0"/>
              </w:rPr>
              <w:t xml:space="preserve">euro </w:t>
            </w:r>
            <w:r w:rsidR="00000000" w:rsidRPr="00000000" w:rsidDel="00000000">
              <w:rPr>
                <w:rtl w:val="0"/>
              </w:rPr>
              <w:t xml:space="preserve">mēnesī.</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26.03.2026. 18:29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14</w:t>
            </w:r>
            <w:r w:rsidR="00000000" w:rsidRPr="00000000" w:rsidDel="00000000">
              <w:rPr>
                <w:rtl w:val="0"/>
              </w:rPr>
              <w:t xml:space="preserve">6. pētniecisko telpu (laboratoriju) nomas izmantošanas izmaksas un komunālie maksājumi līdz 5 000 </w:t>
            </w:r>
            <w:r w:rsidR="00000000" w:rsidRPr="00000000" w:rsidDel="00000000">
              <w:rPr>
                <w:i w:val="1"/>
                <w:rtl w:val="0"/>
              </w:rPr>
              <w:t xml:space="preserve">euro </w:t>
            </w:r>
            <w:r w:rsidR="00000000" w:rsidRPr="00000000" w:rsidDel="00000000">
              <w:rPr>
                <w:rtl w:val="0"/>
              </w:rPr>
              <w:t xml:space="preserve">mēnesī.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piedāvātās izmaiņas 61.</w:t>
            </w:r>
            <w:r w:rsidR="00000000" w:rsidRPr="00000000" w:rsidDel="00000000">
              <w:rPr>
                <w:vertAlign w:val="superscript"/>
                <w:rtl w:val="0"/>
              </w:rPr>
              <w:t xml:space="preserve">14</w:t>
            </w:r>
            <w:r w:rsidR="00000000" w:rsidRPr="00000000" w:rsidDel="00000000">
              <w:rPr>
                <w:rtl w:val="0"/>
              </w:rPr>
              <w:t xml:space="preserve">6. un 61.</w:t>
            </w:r>
            <w:r w:rsidR="00000000" w:rsidRPr="00000000" w:rsidDel="00000000">
              <w:rPr>
                <w:vertAlign w:val="superscript"/>
                <w:rtl w:val="0"/>
              </w:rPr>
              <w:t xml:space="preserve">14</w:t>
            </w:r>
            <w:r w:rsidR="00000000" w:rsidRPr="00000000" w:rsidDel="00000000">
              <w:rPr>
                <w:rtl w:val="0"/>
              </w:rPr>
              <w:t xml:space="preserve">5. apakšpunktā vai papildināt anotāciju. Vēršam uzmanību, ka saskaņā ar Finanšu ministrijas 09.06.2025. vadlīnijām Nr. 1.2. “Vadlīnijas attiecināmo izmaksu noteikšanai Eiropas savienības kohēzijas politikas programmas 2021.–2027. gada plānošanas periodā”, </w:t>
            </w:r>
            <w:r w:rsidR="00000000" w:rsidRPr="00000000" w:rsidDel="00000000">
              <w:rPr>
                <w:b w:val="1"/>
                <w:rtl w:val="0"/>
              </w:rPr>
              <w:t xml:space="preserve">nomas un komunālo maksājumu izmaksas ir netiešās izmaksas</w:t>
            </w:r>
            <w:r w:rsidR="00000000" w:rsidRPr="00000000" w:rsidDel="00000000">
              <w:rPr>
                <w:rtl w:val="0"/>
              </w:rPr>
              <w:t xml:space="preserve">. Netiešās attiecināmās izmaksas var paredzēt/attiecināt kā tiešās attiecināmās izmaksas, ja tam ir sniegts argumentēts pamatojums un ir pamatota izmaksu tieša sasaiste ar projekta mērķi, ir izvērtēta samērīguma, lietderības, vienotas pieejas un labas finanšu pārvaldības principa ievērošana un tiešo/netiešo izmaksu būtība. Lūdzam papildināt anotāciju ar argumentētu pamatojumu piedāvātajām izmaiņām, t.sk. limitam, kas ir noteikts līdz 5 000 euro mēnesī.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(Risinājuma apraksts 8. punkts) ar argumentētu pamatojumu no nozares par nepieciešamo 5 000 EUR atbalstu pētniecisko telpu nomas maksas (laboratoriju) un komunālo maksājumu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14</w:t>
            </w:r>
            <w:r w:rsidR="00000000" w:rsidRPr="00000000" w:rsidDel="00000000">
              <w:rPr>
                <w:rtl w:val="0"/>
              </w:rPr>
              <w:t xml:space="preserve">6. pētniecisko telpu (laboratoriju) nomas izmantošanas izmaksas un komunālie maksājumi līdz 5 000 </w:t>
            </w:r>
            <w:r w:rsidR="00000000" w:rsidRPr="00000000" w:rsidDel="00000000">
              <w:rPr>
                <w:i w:val="1"/>
                <w:rtl w:val="0"/>
              </w:rPr>
              <w:t xml:space="preserve">euro </w:t>
            </w:r>
            <w:r w:rsidR="00000000" w:rsidRPr="00000000" w:rsidDel="00000000">
              <w:rPr>
                <w:rtl w:val="0"/>
              </w:rPr>
              <w:t xml:space="preserve">mēnesī.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Jaunuzņēmumu asociācija - 29.04.2026.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Jaunuzņēmumu asociācija aicina ietvert vairākas izmaiņas noteikumu projektā (25-TA-2372). Kopumā uzskatām, ka programma jāveido pievilcīgāka tieši zinātņietilpīgajiem jaunuzņēmumiem.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aicinām </w:t>
            </w:r>
            <w:r w:rsidR="00000000" w:rsidRPr="00000000" w:rsidDel="00000000">
              <w:rPr>
                <w:b w:val="1"/>
                <w:u w:val="single"/>
                <w:rtl w:val="0"/>
              </w:rPr>
              <w:t xml:space="preserve">papildināt ar 61.13 punktu, nosakot, ka viens zinātņietilpīgais jaunuzņēmums var pieteikties līdz 300 000 euro</w:t>
            </w:r>
            <w:r w:rsidR="00000000" w:rsidRPr="00000000" w:rsidDel="00000000">
              <w:rPr>
                <w:rtl w:val="0"/>
              </w:rPr>
              <w:t xml:space="preserve"> (līdzšinējo 150 000 euro vietā), kā arī </w:t>
            </w:r>
            <w:r w:rsidR="00000000" w:rsidRPr="00000000" w:rsidDel="00000000">
              <w:rPr>
                <w:b w:val="1"/>
                <w:u w:val="single"/>
                <w:rtl w:val="0"/>
              </w:rPr>
              <w:t xml:space="preserve">paredzot, ka zinātņietilpīgie jaunuzņēmumi var katrs iesniegt vairākus pieteikumus</w:t>
            </w:r>
            <w:r w:rsidR="00000000" w:rsidRPr="00000000" w:rsidDel="00000000">
              <w:rPr>
                <w:rtl w:val="0"/>
              </w:rPr>
              <w:t xml:space="preserve"> (nevis tikai vienu).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piemēram, atbalsts zinātnes komercializācijai, kas pēc būtības veido jaunus zinātņietilpīgos jaunuzņēmumus, caur “BioPhot” platformu paredz līdz pat 200 000 euro finansējumu viena TRL līmeņa palielināšanai tikai 12 vai pat mazāka mēnešu skaita laikā. Tādēļ ir likumsakarīgi, ka arī turpmākās programmas piedāvā summu, kas ir tāda pati vai augstāka. Aicinām summu sasaistīt arī ar de minimis slieksni 300 000 euro apmērā, ņemot vērā, ka pieteikuma īstenošanas termiņš var būt līdz 24 mēnešiem. Zinātņietilpīgo jaunuzņēmumu attīstības cikls ir garāks, kapitālietilpīgāks un riskantāks, tādēļ viena projekta limita būtiska palielināšana būtu pamatota.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ņemot vērā, ka tiek veikti grozījumi programmas ietvaros, uzskatām, ka programma būtu jāatver pieteikumiem arī tiem uzņēmumiem, kas līdz šim jau ir iesnieguši pieteikumus programmā, kā arī tiem, kas jau saņēmuši atbalstu, ja tiem nav iespējas grozīt līgumu atbilstoši jaunajiem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aicinām </w:t>
            </w:r>
            <w:r w:rsidR="00000000" w:rsidRPr="00000000" w:rsidDel="00000000">
              <w:rPr>
                <w:b w:val="1"/>
                <w:u w:val="single"/>
                <w:rtl w:val="0"/>
              </w:rPr>
              <w:t xml:space="preserve">izmainīt 61.15 punktu, nosakot, ka avansa maksājums tiek palielināts līdz vismaz 50% no līdzšinējiem 30%</w:t>
            </w:r>
            <w:r w:rsidR="00000000" w:rsidRPr="00000000" w:rsidDel="00000000">
              <w:rPr>
                <w:rtl w:val="0"/>
              </w:rPr>
              <w:t xml:space="preserve">. Tas atbilstu gan kopējai ES fondu projektu praksei, gan instrumentiem, kas paredzēti tieši zinātņietilpīgo jaunuzņēmumu atbalstam. ES līmeņa pētniecības un inovāciju instrumentos avansa maksājums ir standarta prakse, lai nodrošinātu projekta sākotnējo naudas plūsmu un segtu izdevumus jau īstenošanas sākumā. Piemēram, Eiropas Komisijas programmas "Apvārsnis Eiropa" (Horizon Europe) ietvaros avansa maksājums tiek veikts projekta sākumā, un atsevišķos instrumentos tas faktiski sasniedz ievērojami lielāku daļu no kopējā finansējuma nekā šobrīd paredzētie 30%.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uzņēmumi bieži saskaras ar augstām sākotnējām izmaksām - prototipēšanu, sertifikāciju, pētniecību, laboratoriju izmantošanu un talantu piesaisti, tādēļ lielāks avanss būtiski uzlabotu spēju uzsākt projektus un sasniegt rezultātus. Šajā kontekstā jāņem vērā, ka zinātņietilpīgo jaunuzņēmumu darbības modelis pats par sevi paredz augstu riska līmeni un vienlaikus ļoti ierobežotu apgrozāmo līdzekļu pieejamību. Pretēji regulāri publiskajā telpā izskanējušiem apgalvojumiem, zinātņietilpīgajiem jaunuzņēmumiem bieži nav pieejami ne ALTUM atbalsta programmu instrumenti (piemēram, Starta aizdevums), ne komercbanku un nebanku aizdevēju produkti, jo tiek prasīti ieņēmumi jau no pirmajiem darbības mēnešiem. Tas praksē nav iespējams, jo tehnoloģijas attīstība un ieguldījumi pētniecības un inovāciju aktivitātēs līdz TRL9 sasniegšanai nereti prasa vairākus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aicinām </w:t>
            </w:r>
            <w:r w:rsidR="00000000" w:rsidRPr="00000000" w:rsidDel="00000000">
              <w:rPr>
                <w:b w:val="1"/>
                <w:u w:val="single"/>
                <w:rtl w:val="0"/>
              </w:rPr>
              <w:t xml:space="preserve">papildināt novērtēšanas vadlīnijas, paredzot, ka papildu punkti tiek piešķirti tiem jaunuzņēmumiem, kuri jau ir saņēmuši Eiropas Inovāciju Padomes (European Innovation Council) "Seal of Excellence" novērtējumu</w:t>
            </w:r>
            <w:r w:rsidR="00000000" w:rsidRPr="00000000" w:rsidDel="00000000">
              <w:rPr>
                <w:rtl w:val="0"/>
              </w:rPr>
              <w:t xml:space="preserve">. “Seal of Excellence” (Izcilības zīmogs) ir Eiropas Komisijas piešķirts kvalitātes marķējums projektiem, kas iesniegti ES pētniecības un inovācijas programmās, saņēmuši augstu vērtējumu virs kvalitātes sliekšņa, bet nav saņēmuši finansējumu nepietiekama budžeta dēļ. Tas apliecina, ka uzņēmuma projekts ir izgājis augsta līmeņa starptautisku kvalitātes izvērtējumu un atzīts par perspektīvu. Šāda pieeja ļautu Latvijai efektīvāk identificēt augsta potenciāla uzņēmumus un izmantot jau veikta starptautiska novērtējuma rezultātus nacionālā atbalsta piešķiršanā.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uzsveram, ka Latvijai ir būtiski veidot mērķtiecīgu un konkurētspējīgu atbalsta sistēmu zinātņietilpīgajiem jaunuzņēmumiem, jo tie rada augstu pievienoto vērtību, eksporta potenciālu un jaunas kompetences valsts ekonomikā.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rtl w:val="0"/>
              </w:rPr>
              <w:t xml:space="preserve">Finansējuma apjomu vienam zinātņietilpīga jaunuzņēmuma projekta pieteikumam nav iespējams palielināt līdz 300 000 euro, jo šāds finansējuma palielinājums neļautu nodrošināt noteikto iznākuma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Mainīts 61.15 punkts šādā redakcijā: "Projekta īstenošanas laikā zinātņietilpīgs jaunuzņēmums var saņemt avansa maksājumu, kas nepārsniedz 50 % no projekta kopējā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Izcilības zīmols ES fondu ietvaros nav uzskatāms par prioritāro rādītāju, jo saskaņā ar Regulas (ES) Nr. 2021/1060 73. pantu projektu atlasei piemēro nediskriminējošus, caurskatāmus un ar konkrētā atbalsta pasākuma mērķiem tieši saistītus kritērijus, kas neparedz automātisku prioritāti, pamatojoties uz ārēju kvalitātes marķējumu, tostarp “Seal of Excellence”.</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sadaļā "Risinājuma apraksts" 2) punktā  minētais kontekstā ar MK noteikumu 2.17.apakšpunktu (zinātņitilpīgi jaunuzņēmumi) nav saistāms ar tālāk minēto, ka “Pašreizējais regulējums ierobežo atbalsta saņēmēju loku, proti, atbalstu nevar saņemt tādi jaunuzņēmumi, kas sadarbojas ar zinātniskajām institūcijām ārpus Latvijas, tostarp, tādām pētniecības organizācijām, kas reģistrētas Eiropas Savienības dalībvalstī, Eiropas Ekonomikas zonas valstī vai Šveices Konfederācijā, vai attiecīgās valsts pētniecības organizāciju reģistrā. vai komercsabiedrība, organizācija vai institūcija, kuras dibināšanas dokumentos (statūtos) ir norāde, ka tā veic zinātnisko un pētniecisko darbību”, jo pēdējais ir skaidrojums par MK noteikumu 41.3.apakšpunkta grozījumiem (vaučeru atbalsta nosacījumi). Lūdzam viennozīmīgai izpratnei anotācijā skaidrojumus par dažādu normu un atbalsta sadaļu grozījumiem izdalīt atsevišķos apakšpunktos.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izdalīti apakšpunkti par grozījumiem 2.14 un 41.3 punktos.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gala labuma guvējs – Latvijas Republikas komercreģistrā reģistrēts komersants, kā arī ārvalsts komersanta filiāle Latvijā, kas atbilst sīkā (mikro), mazā un vidējā komersanta statusam saskaņā ar Komisijas regulas Nr. </w:t>
            </w:r>
            <w:r w:rsidR="00000000" w:rsidRPr="00000000" w:rsidDel="00000000">
              <w:rPr>
                <w:rtl w:val="0"/>
              </w:rPr>
              <w:t xml:space="preserve">651/2014</w:t>
            </w:r>
            <w:r w:rsidR="00000000" w:rsidRPr="00000000" w:rsidDel="00000000">
              <w:rPr>
                <w:rtl w:val="0"/>
              </w:rPr>
              <w:t xml:space="preserve"> 2. panta 2. punktu, mazas vidējas kapitalizācijas sabiedrības saskaņā ar Eiropas Parlamenta un Padomes 2015. gada 25. jūnija Regulas (ES) </w:t>
            </w:r>
            <w:r w:rsidR="00000000" w:rsidRPr="00000000" w:rsidDel="00000000">
              <w:rPr>
                <w:rtl w:val="0"/>
              </w:rPr>
              <w:t xml:space="preserve">2015/1017</w:t>
            </w:r>
            <w:r w:rsidR="00000000" w:rsidRPr="00000000" w:rsidDel="00000000">
              <w:rPr>
                <w:rtl w:val="0"/>
              </w:rPr>
              <w:t xml:space="preserve"> par Eiropas Stratēģisko investīciju fondu, Eiropas Investīciju konsultāciju centru un Eiropas Investīciju projektu portālu, ar ko groza Regulas (ES) Nr. 1291/2013 un (ES) Nr. 1316/2013 – Eiropas Stratēģisko investīciju fonds (turpmāk – regula Nr. </w:t>
            </w:r>
            <w:r w:rsidR="00000000" w:rsidRPr="00000000" w:rsidDel="00000000">
              <w:rPr>
                <w:rtl w:val="0"/>
              </w:rPr>
              <w:t xml:space="preserve">2015/1017</w:t>
            </w:r>
            <w:r w:rsidR="00000000" w:rsidRPr="00000000" w:rsidDel="00000000">
              <w:rPr>
                <w:rtl w:val="0"/>
              </w:rPr>
              <w:t xml:space="preserve">), 2. pantu, kā arī vidējas kapitalizācijas sabiedrības saskaņā ar regulas Nr. </w:t>
            </w:r>
            <w:r w:rsidR="00000000" w:rsidRPr="00000000" w:rsidDel="00000000">
              <w:rPr>
                <w:rtl w:val="0"/>
              </w:rPr>
              <w:t xml:space="preserve">2015/1017</w:t>
            </w:r>
            <w:r w:rsidR="00000000" w:rsidRPr="00000000" w:rsidDel="00000000">
              <w:rPr>
                <w:rtl w:val="0"/>
              </w:rPr>
              <w:t xml:space="preserve"> 2. pantu un komersanti, kas atbilst lielā komersanta statusam saskaņā ar Komisijas regulas Nr. </w:t>
            </w:r>
            <w:r w:rsidR="00000000" w:rsidRPr="00000000" w:rsidDel="00000000">
              <w:rPr>
                <w:rtl w:val="0"/>
              </w:rPr>
              <w:t xml:space="preserve">651/2014</w:t>
            </w:r>
            <w:r w:rsidR="00000000" w:rsidRPr="00000000" w:rsidDel="00000000">
              <w:rPr>
                <w:rtl w:val="0"/>
              </w:rPr>
              <w:t xml:space="preserve"> 2. panta 24. punktu ar nosacījumu, vai zinātniskā institūcija. Vidējas kapitalizācijas sabiedrības un lielie komersanti var saņemt atbalstu, ja tie sadarbojas ar sīkajiem (mikro), mazajiem vai vidējiem komersantiem pētniecības un inovācijas aktivitātēs. Ārvalsts komersanta filiāle Latvijā var saņemt atbalstu, ja tā veic komercdarbību Latvijā un ārvalsts komersanta kapitāla daļu īpašnieks, kuram pieder vismaz 50% kapitāla daļu, ir fiziska persona, kas ir Latvijas Republikas valsts piederīgais, vai Latvijas Republikā reģistrēta juridiska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iestrādājot izmaiņas šajā punkta normā, ir pazudusi normas punkta redakcija attiecībā uz nosacījumu vidējām kapitalizācijas sabiedrībām un lielajiem komersantiem. Tādējādi lūdzam minēto regulējumu pārskatīt un, ja nepieciešamas atjaunot. Vienlaicīgi, lai mazinātu interpretācijas iespējas attiecībā uz tiesību normas pēdējo teikumu attiecībā uz nosacījumiem ārvalstu filiālēm, aicinām izvērtēt to izteikt Finanšu ministrijas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gala labuma guvējs – Latvijas Republikas komercreģistrā reģistrēts komersants,  kā arī ārvalsts komersanta filiāle Latvijā, kas atbilst sīkā (mikro), mazā un vidējā komersanta statusam saskaņā ar Komisijas regulas Nr. 651/2014 2. panta 2. punktu, mazas vidējas kapitalizācijas sabiedrības saskaņā ar Eiropas Parlamenta un Padomes 2015. gada 25. jūnija Regulas (ES) 2015/1017 par Eiropas Stratēģisko investīciju fondu, Eiropas Investīciju konsultāciju centru un Eiropas Investīciju projektu portālu, ar ko groza Regulas (ES) Nr. 1291/2013 un (ES) Nr. 1316/2013 – Eiropas Stratēģisko investīciju fonds (turpmāk – regula Nr. 2015/1017), 2. pantu, kā arī vidējas kapitalizācijas sabiedrības saskaņā ar regulas Nr. 2015/1017 2. pantu un komersanti, kas atbilst lielā komersanta statusam saskaņā ar Komisijas regulas Nr. 651/2014 2. panta 24. punktu ar nosacījumu, k</w:t>
            </w:r>
            <w:r w:rsidR="00000000" w:rsidRPr="00000000" w:rsidDel="00000000">
              <w:rPr>
                <w:u w:val="single"/>
                <w:rtl w:val="0"/>
              </w:rPr>
              <w:t xml:space="preserve">a tie sadarbojas ar sīkajiem (mikro), mazajiem vai vidējiem komersantiem pētniecības un inovācijas aktivitātēs</w:t>
            </w:r>
            <w:r w:rsidR="00000000" w:rsidRPr="00000000" w:rsidDel="00000000">
              <w:rPr>
                <w:rtl w:val="0"/>
              </w:rPr>
              <w:t xml:space="preserve">, vai zinātniskā institūcija. </w:t>
            </w:r>
            <w:r w:rsidR="00000000" w:rsidRPr="00000000" w:rsidDel="00000000">
              <w:rPr>
                <w:rtl w:val="0"/>
              </w:rPr>
              <w:t xml:space="preserve">Ārvalsts komersanta filiāle Latvijā var saņemt atbalstu, ja tā veic komercdarbību Latvijas Republikā un ja ārvalsts komersanta kapitālu daļu īpašnieks, kuram pieder vismaz 50 procenti kapitāla daļu, ir vai nu fiziska persona — Latvijas Republikas valsts piederīgais, vai Latvijas Republikā reģistrēta juridiska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pēc piedāvātās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gala labuma guvējs – Latvijas Republikas komercreģistrā reģistrēts komersants,  kā arī ārvalsts komersanta filiāle Latvijā, kas atbilst sīkā (mikro), mazā un vidējā komersanta statusam saskaņā ar Komisijas regulas Nr. 651/2014 2. panta 2. punktu, mazas vidējas kapitalizācijas sabiedrības saskaņā ar Eiropas Parlamenta un Padomes 2015. gada 25. jūnija Regulas (ES) 2015/1017 par Eiropas Stratēģisko investīciju fondu, Eiropas Investīciju konsultāciju centru un Eiropas Investīciju projektu portālu, ar ko groza Regulas (ES) Nr. 1291/2013 un (ES) Nr. 1316/2013 – Eiropas Stratēģisko investīciju fonds (turpmāk – regula Nr. 2015/1017), 2. pantu, kā arī vidējas kapitalizācijas sabiedrības saskaņā ar regulas Nr. 2015/1017 2. pantu un komersanti, kas atbilst lielā komersanta statusam saskaņā ar Komisijas regulas Nr. 651/2014 2. panta 24. punktu ar nosacījumu, ka tie sadarbojas ar sīkajiem (mikro), mazajiem vai vidējiem komersantiem pētniecības un inovācijas aktivitātēs, vai zinātniskā institūcija. Ārvalsts komersanta filiāle Latvijā var saņemt atbalstu, ja tā veic komercdarbību Latvijas Republikā un ja ārvalsts komersanta kapitālu daļu īpašnieks, kuram pieder vismaz 50 procenti kapitāla daļu, ir vai nu fiziska persona — Latvijas Republikas valsts piederīgais, vai Latvijas Republikā reģistrēta juridiska 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komercsabiedrība, organizācija vai institūcija, kuras dibināšanas dokumentos (statūtos) ir norāde, ka tā veic zinātnisko vai pētniecisko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šo punktu papildināt ar nosacījumu par pētniecības un attīstības personāla/komandas eksistenci augstāk uzskaitītājās organizācijās, ņemot vērā to, ka komercsabiedrība savos statūtos var viegli norādīt jebkuru no NACE klasifikatora darbībām, ka arī šī punkta normas iestaros nav atbalstāmas organizācijas, kas pašas neveic pētniecību, bet, piemēram, to piedāvā ārpakalpojumā.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ka komercsabiedrībai, organizācijai vai institūcijai jānodarbina zinātniskais personāls.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komercsabiedrība, organizācija vai institūcija, kuras dibināšanas dokumentos (statūtos) ir norāde, ka tā veic zinātnisko vai pētniecisko darbību un tās struktūrā ir zinātniskais personāls.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24.02.2026. 07:29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plānot pasākuma īstenošanai kopējo finansējumu pilnā apmērā, iekļaujot elastības finansējumu 2 630 207 euro apmērā, lūdzam attiecīgi aizpildīt anotācijas 3.sadaļu, sniedzot informāciju par projekta ietekmi uz valsts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 anotācijā tika iekļauts finansējuma sadalījums ar ietekmi uz valsts budžetu, iekļaujot elastības finansējumu. Ņemot vērā elastības finansējuma pārdales ar šī noteikumu projekta 2024. gada 27. augusta grozījumiem, tika veikti labojumi anotācijas 3. sadaļā, samazinot elastības finansējuma daļu budžetā.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šajā grozījumu redakcijā programmas kopējais finansējums nemainās un netiek pārvirzīts uz citu programmu, līdz ar to izmaiņas ietekmei uz budžetu nav.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ņemot vērā, ka pasākuma kopējā finansējumā tiek iekļauts elastības finansējums 2 630 207 EUR apmērā, anotācijas 3. sadaļā "Cita informācija" tiek papildināta ar skaidrojumu.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gala labuma guvējs – Latvijas Republikas komercreģistrā reģistrēts komersants, kā arī ārvalsts komersanta filiāle Latvijā, kas atbilst sīkā (mikro), mazā un vidējā komersanta statusam saskaņā ar Komisijas regulas Nr. </w:t>
            </w:r>
            <w:r w:rsidR="00000000" w:rsidRPr="00000000" w:rsidDel="00000000">
              <w:rPr>
                <w:rtl w:val="0"/>
              </w:rPr>
              <w:t xml:space="preserve">651/2014</w:t>
            </w:r>
            <w:r w:rsidR="00000000" w:rsidRPr="00000000" w:rsidDel="00000000">
              <w:rPr>
                <w:rtl w:val="0"/>
              </w:rPr>
              <w:t xml:space="preserve"> 2. panta 2. punktu, mazas vidējas kapitalizācijas sabiedrības saskaņā ar Eiropas Parlamenta un Padomes 2015. gada 25. jūnija Regulas (ES) </w:t>
            </w:r>
            <w:r w:rsidR="00000000" w:rsidRPr="00000000" w:rsidDel="00000000">
              <w:rPr>
                <w:rtl w:val="0"/>
              </w:rPr>
              <w:t xml:space="preserve">2015/1017</w:t>
            </w:r>
            <w:r w:rsidR="00000000" w:rsidRPr="00000000" w:rsidDel="00000000">
              <w:rPr>
                <w:rtl w:val="0"/>
              </w:rPr>
              <w:t xml:space="preserve"> par Eiropas Stratēģisko investīciju fondu, Eiropas Investīciju konsultāciju centru un Eiropas Investīciju projektu portālu, ar ko groza Regulas (ES) Nr. 1291/2013 un (ES) Nr. 1316/2013 – Eiropas Stratēģisko investīciju fonds (turpmāk – regula Nr. </w:t>
            </w:r>
            <w:r w:rsidR="00000000" w:rsidRPr="00000000" w:rsidDel="00000000">
              <w:rPr>
                <w:rtl w:val="0"/>
              </w:rPr>
              <w:t xml:space="preserve">2015/1017</w:t>
            </w:r>
            <w:r w:rsidR="00000000" w:rsidRPr="00000000" w:rsidDel="00000000">
              <w:rPr>
                <w:rtl w:val="0"/>
              </w:rPr>
              <w:t xml:space="preserve">), 2. pantu, kā arī vidējas kapitalizācijas sabiedrības saskaņā ar regulas Nr. </w:t>
            </w:r>
            <w:r w:rsidR="00000000" w:rsidRPr="00000000" w:rsidDel="00000000">
              <w:rPr>
                <w:rtl w:val="0"/>
              </w:rPr>
              <w:t xml:space="preserve">2015/1017</w:t>
            </w:r>
            <w:r w:rsidR="00000000" w:rsidRPr="00000000" w:rsidDel="00000000">
              <w:rPr>
                <w:rtl w:val="0"/>
              </w:rPr>
              <w:t xml:space="preserve"> 2. pantu un komersanti, kas atbilst lielā komersanta statusam saskaņā ar Komisijas regulas Nr. </w:t>
            </w:r>
            <w:r w:rsidR="00000000" w:rsidRPr="00000000" w:rsidDel="00000000">
              <w:rPr>
                <w:rtl w:val="0"/>
              </w:rPr>
              <w:t xml:space="preserve">651/2014</w:t>
            </w:r>
            <w:r w:rsidR="00000000" w:rsidRPr="00000000" w:rsidDel="00000000">
              <w:rPr>
                <w:rtl w:val="0"/>
              </w:rPr>
              <w:t xml:space="preserve"> 2. panta 24. punktu ar nosacījumu, vai zinātniskā institūcija. Vidējas kapitalizācijas sabiedrības un lielie komersanti var saņemt atbalstu, ja tie sadarbojas ar sīkajiem (mikro), mazajiem vai vidējiem komersantiem pētniecības un inovācijas aktivitātēs. Ārvalsts komersanta filiāle Latvijā var saņemt atbalstu, ja tā veic saimniecisko darbību un ārvalsts komersanta daļu īpašnieks ir vismaz 50% apmērā Latvijas Republikā reģistrēta juridiska persona vai fiziska persona, kas ir Latvijas Republikas valsts piederīgais;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2.2. apakšpunktu (projekta 1. punktu) nav nepieciešams precizēt, ņemot vērā, ka izziņā un anotācijā norādīts uz ārvalsts komersanta filiāle iespēju saņemt atbalstu, ja tā veic saimniecisko darbību </w:t>
            </w:r>
            <w:r w:rsidR="00000000" w:rsidRPr="00000000" w:rsidDel="00000000">
              <w:rPr>
                <w:u w:val="single"/>
                <w:rtl w:val="0"/>
              </w:rPr>
              <w:t xml:space="preserve">Latvijā</w:t>
            </w:r>
            <w:r w:rsidR="00000000" w:rsidRPr="00000000" w:rsidDel="00000000">
              <w:rPr>
                <w:rtl w:val="0"/>
              </w:rPr>
              <w:t xml:space="preserve">. Kā arī aicinām izvērtēt iespēju normu atbilstoši Komerclikumā lietotajai terminoloģijai (proti, komercdarbība, nevis saimnieciskā darbība, kā arī kapitāla daļas (akcijas), nevis komersanta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pamatojumu, kas attiecas uz ārvalsts komersanta filiāļu atbalsta saņemšanu Latvijā, noteikumu projekts 2.2. apakšpunktā atbilstoši precizēts.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gala labuma guvējs – Latvijas Republikas komercreģistrā reģistrēts komersants,  kā arī ārvalsts komersanta filiāle Latvijā, kas atbilst sīkā (mikro), mazā un vidējā komersanta statusam saskaņā ar Komisijas regulas Nr. 651/2014 2. panta 2. punktu, mazas vidējas kapitalizācijas sabiedrības saskaņā ar Eiropas Parlamenta un Padomes 2015. gada 25. jūnija Regulas (ES) 2015/1017 par Eiropas Stratēģisko investīciju fondu, Eiropas Investīciju konsultāciju centru un Eiropas Investīciju projektu portālu, ar ko groza Regulas (ES) Nr. 1291/2013 un (ES) Nr. 1316/2013 – Eiropas Stratēģisko investīciju fonds (turpmāk – regula Nr. 2015/1017), 2. pantu, kā arī vidējas kapitalizācijas sabiedrības saskaņā ar regulas Nr. 2015/1017 2. pantu un komersanti, kas atbilst lielā komersanta statusam saskaņā ar Komisijas regulas Nr. 651/2014 2. panta 24. punktu ar nosacījumu, ka tie sadarbojas ar sīkajiem (mikro), mazajiem vai vidējiem komersantiem pētniecības un inovācijas aktivitātēs, vai zinātniskā institūcija. Ārvalsts komersanta filiāle Latvijā var saņemt atbalstu, ja tā veic komercdarbību Latvijas Republikā un ja ārvalsts komersanta kapitālu daļu īpašnieks, kuram pieder vismaz 50 procenti kapitāla daļu, ir vai nu fiziska persona — Latvijas Republikas valsts piederīgais, vai Latvijas Republikā reģistrēta juridiska 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w:t>
            </w:r>
            <w:r w:rsidR="00000000" w:rsidRPr="00000000" w:rsidDel="00000000">
              <w:rPr>
                <w:vertAlign w:val="superscript"/>
                <w:rtl w:val="0"/>
              </w:rPr>
              <w:t xml:space="preserve">2</w:t>
            </w:r>
            <w:r w:rsidR="00000000" w:rsidRPr="00000000" w:rsidDel="00000000">
              <w:rPr>
                <w:rtl w:val="0"/>
              </w:rPr>
              <w:t xml:space="preserve">. Finansējuma nodrošināšana zinātņietilpīgiem jaunuzņēmumiem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īstenošanas MK noteikumu grozījumu projekta virzība ir atbalstāma tikai pēc zinātņietilpīgo uzņēmumu pārstāvju š.g. 30.janvāra vēstulē (SIA "SEPSISCAN" vēstulē Nr. 1/30012026 par  Par spin-off  un zinātņietilpīgo (deep-tech) jaunuzņēmumu atbalsta instrumenta efektivitāti un pilnveidi)(turpmāk - SIA "SEPSISCAN" vēstule) minēto aspektu izvērtēšanas, jo tie ir saistīti ar iespējamiem grozījumiem šajos MK noteikumos. Lūdzam Ekonomikas ministriju (turpmāk – EM) informēt par izvērtēšanas rezultātu.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“SEPSISCAN” vēstule ir izvērtēta un balstoties uz vēstulē izteiktajiem priekšlikumiem ir ņemti vērā un laboti šādi punkti noteikumu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12</w:t>
            </w:r>
            <w:r w:rsidR="00000000" w:rsidRPr="00000000" w:rsidDel="00000000">
              <w:rPr>
                <w:rtl w:val="0"/>
              </w:rPr>
              <w:t xml:space="preserve">2. atbalsta pieteikumā norādītās tehnoloģijas gatavības līmenis – no pabeigta TRL4 līdz TRL8;".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12</w:t>
            </w:r>
            <w:r w:rsidR="00000000" w:rsidRPr="00000000" w:rsidDel="00000000">
              <w:rPr>
                <w:rtl w:val="0"/>
              </w:rPr>
              <w:t xml:space="preserve">5. jaunuzņēmums, ja tā projekts tiek īstenots vismaz TRL8 līmenī, ir saņēmis no publiskiem līdzekļiem brīvas investīcijas vismaz 10 000 euro apmērā no investora, ar kuru noslēgts investīciju līgums, vai uzrāda savu finansiālo ieguldījumu;".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15</w:t>
            </w:r>
            <w:r w:rsidR="00000000" w:rsidRPr="00000000" w:rsidDel="00000000">
              <w:rPr>
                <w:rtl w:val="0"/>
              </w:rPr>
              <w:t xml:space="preserve"> Projekta īstenošanas laikā zinātņietilpīgs jaunuzņēmums var saņemt avansa maksājumu, kas nepārsniedz 35 % no projekta kopējā finansējuma."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61.</w:t>
            </w:r>
            <w:r w:rsidR="00000000" w:rsidRPr="00000000" w:rsidDel="00000000">
              <w:rPr>
                <w:vertAlign w:val="superscript"/>
                <w:rtl w:val="0"/>
              </w:rPr>
              <w:t xml:space="preserve">15</w:t>
            </w:r>
            <w:r w:rsidR="00000000" w:rsidRPr="00000000" w:rsidDel="00000000">
              <w:rPr>
                <w:rtl w:val="0"/>
              </w:rPr>
              <w:t xml:space="preserve"> apakšpunktu, tika svītrota nosacījuma daļa, kas paredz jaunuzņēmumam saņemt avansa maksājumu tikai tādā gadījumā, ja tiek iesniegts parakstīts investīciju līgums finansējuma saņēmējam. Visi labotie punkti paredz labvēlīgākus un atvieglotus nosacījumus zinātņietilpīgiem jaunuzņēmumiem, kas līdz šim ierobežoja šādus komersantus atbalsta pieteikuma iesniegšanai vai, kas rada risku potenciāli svarīga atbalsta pieteikuma noraidīšanai.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vēstulē pausto viedokli ir veikti grozījumi 81. punktā, papildinot ar 81.6. apakšpunktu, kas paredz 80% intensitāti 61.</w:t>
            </w:r>
            <w:r w:rsidR="00000000" w:rsidRPr="00000000" w:rsidDel="00000000">
              <w:rPr>
                <w:vertAlign w:val="superscript"/>
                <w:rtl w:val="0"/>
              </w:rPr>
              <w:t xml:space="preserve">14</w:t>
            </w:r>
            <w:r w:rsidR="00000000" w:rsidRPr="00000000" w:rsidDel="00000000">
              <w:rPr>
                <w:rtl w:val="0"/>
              </w:rPr>
              <w:t xml:space="preserve"> punktā minētajām darbībām.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w:t>
            </w:r>
            <w:r w:rsidR="00000000" w:rsidRPr="00000000" w:rsidDel="00000000">
              <w:rPr>
                <w:vertAlign w:val="superscript"/>
                <w:rtl w:val="0"/>
              </w:rPr>
              <w:t xml:space="preserve">2</w:t>
            </w:r>
            <w:r w:rsidR="00000000" w:rsidRPr="00000000" w:rsidDel="00000000">
              <w:rPr>
                <w:rtl w:val="0"/>
              </w:rPr>
              <w:t xml:space="preserve">. Finansējuma nodrošināšana zinātņietilpīgiem jaunuzņēmumiem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29.12.2025. 09:51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gala labuma guvējs – Latvijas Republikas komercreģistrā reģistrēts komersants, kā arī ārvalsts komersanta filiāle Latvijā, kas atbilst sīkā (mikro), mazā un vidējā komersanta statusam saskaņā ar Komisijas regulas Nr. </w:t>
            </w:r>
            <w:r w:rsidR="00000000" w:rsidRPr="00000000" w:rsidDel="00000000">
              <w:rPr>
                <w:rtl w:val="0"/>
              </w:rPr>
              <w:t xml:space="preserve">651/2014</w:t>
            </w:r>
            <w:r w:rsidR="00000000" w:rsidRPr="00000000" w:rsidDel="00000000">
              <w:rPr>
                <w:rtl w:val="0"/>
              </w:rPr>
              <w:t xml:space="preserve"> 2. panta 2. punktu, mazas vidējas kapitalizācijas sabiedrības saskaņā ar Eiropas Parlamenta un Padomes 2015. gada 25. jūnija Regulas (ES) </w:t>
            </w:r>
            <w:r w:rsidR="00000000" w:rsidRPr="00000000" w:rsidDel="00000000">
              <w:rPr>
                <w:rtl w:val="0"/>
              </w:rPr>
              <w:t xml:space="preserve">2015/1017</w:t>
            </w:r>
            <w:r w:rsidR="00000000" w:rsidRPr="00000000" w:rsidDel="00000000">
              <w:rPr>
                <w:rtl w:val="0"/>
              </w:rPr>
              <w:t xml:space="preserve"> par Eiropas Stratēģisko investīciju fondu, Eiropas Investīciju konsultāciju centru un Eiropas Investīciju projektu portālu, ar ko groza Regulas (ES) Nr. 1291/2013 un (ES) Nr. 1316/2013 – Eiropas Stratēģisko investīciju fonds (turpmāk – regula Nr. </w:t>
            </w:r>
            <w:r w:rsidR="00000000" w:rsidRPr="00000000" w:rsidDel="00000000">
              <w:rPr>
                <w:rtl w:val="0"/>
              </w:rPr>
              <w:t xml:space="preserve">2015/1017</w:t>
            </w:r>
            <w:r w:rsidR="00000000" w:rsidRPr="00000000" w:rsidDel="00000000">
              <w:rPr>
                <w:rtl w:val="0"/>
              </w:rPr>
              <w:t xml:space="preserve">), 2. pantu, kā arī vidējas kapitalizācijas sabiedrības saskaņā ar regulas Nr. </w:t>
            </w:r>
            <w:r w:rsidR="00000000" w:rsidRPr="00000000" w:rsidDel="00000000">
              <w:rPr>
                <w:rtl w:val="0"/>
              </w:rPr>
              <w:t xml:space="preserve">2015/1017</w:t>
            </w:r>
            <w:r w:rsidR="00000000" w:rsidRPr="00000000" w:rsidDel="00000000">
              <w:rPr>
                <w:rtl w:val="0"/>
              </w:rPr>
              <w:t xml:space="preserve"> 2. pantu un komersanti, kas atbilst lielā komersanta statusam saskaņā ar Komisijas regulas Nr. </w:t>
            </w:r>
            <w:r w:rsidR="00000000" w:rsidRPr="00000000" w:rsidDel="00000000">
              <w:rPr>
                <w:rtl w:val="0"/>
              </w:rPr>
              <w:t xml:space="preserve">651/2014</w:t>
            </w:r>
            <w:r w:rsidR="00000000" w:rsidRPr="00000000" w:rsidDel="00000000">
              <w:rPr>
                <w:rtl w:val="0"/>
              </w:rPr>
              <w:t xml:space="preserve"> 2. panta 24. punktu ar nosacījumu, vai zinātniskā institūcija. Vidējas kapitalizācijas sabiedrības un lielie komersanti var saņemt atbalstu, ja tie sadarbojas ar sīkajiem (mikro), mazajiem vai vidējiem komersantiem pētniecības un inovācijas aktivitātēs. Ārvalsts komersanta filiāle Latvijā var saņemt atbalstu, ja tā veic saimniecisko darbību un ārvalsts komersanta daļu īpašnieks ir vismaz 50% apmērā Latvijas Republikā reģistrēta juridiska persona vai fiziska persona, kas ir Latvijas Republikas valsts piederīgais;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2.2. apakšpunktā ietverts jauns regulējums attiecībā uz ārvalsts komersanta filiāles tiesībām saņemt atbalstu, nosakot, ka “ārvalsts komersanta daļu īpašnieks ir vismaz 50% apmērā Latvijas Republikā reģistrēta juridiska persona vai fiziska persona, kas ir Latvijas Republikas valsts piederīgais”.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anotācijā nav sniegts juridisks pamatojums šāda kritērija ieviešanai, kā arī nav analizēta šāda ierobežojuma nepieciešamība, tiesiskais mērķis un atbilstība vienlīdzīgas attieksmes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anotāciju ar izvērtējumu par minētā nosacījuma tiesisko pamatojumu un tā saderību ar normatīvajā aktā ietverto regulējumu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Nr.644 atbalsta saņēmēju loks ir ierobežots, t.i. Latvijā reģistrēti komersanti, attiecīgi atbalsta mērķis ir paaugstināt inovatīvo komersantu īpatsvaru Latvijas ekonomikā, kā arī sniegt ieguldījumu Latvijas Viedās specializācijas stratēģijas mērķu sasniegšanā, ar mērķi, ka tiek izstrādāti jauni produkti un tehnoloģijas, kas tiek komercializēti.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ārvalstu filiāle ir uzņēmuma organizatoriski patstāvīga daļa, kura attiecīgā ārvalstu komersanta vārdā veic komercdarbību. Ņemot vērā, ka pats komersants nebūs Latvijā reģistrēts,  līdz ar to, lai izvairītos no tādām ārvalstu filiālēm, kas Latvijā ir reģistrētas formāli un nekādu pienesumu Latvijas ekonomikai nesniedz, noteikumu grozījuma projektā iestrādāts ierobežojums ārvalstu filiālēm, ka tās var pretendēt tikai tādā gadījumā, ja tās ārvalstu komersanta daļu īpašnieki ir Latvijas valsts piederīgie un filiāle veic saimniecisko darbību šeit Latvijā, lai izpildītos atbalsta mērķis.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Noteiktais nosacījums par vismaz 50% īpašumtiesībām Latvijas Republikā reģistrētai juridiskai personai vai Latvijas valstspiederīgajam ir ieviests, lai filiāļu gadījumā saglabātu saprātīgu līdzsvaru starp atbalsta pieejamību un programmas mērķi – lai publiskais finansējums nonāktu pie uzņēmumiem ar reālu un noturīgu saikni ar Latvijas ekonomisko telpu. 50% ir izvēlēts kā minimālais vairākuma slieksnis, kas praksē nozīmē izšķirošu ietekmi uz stratēģiskiem lēmumiem (t. sk. attīstības virziens un komercializācijas pieeja). Kritērijā paredzētā Latvijas valstspiederīgā (fiziskas personas) alternatīva nepieciešama, lai nosacījums būtu piemērojams arī agrīnā stadijā, kad uzņēmuma vairākums bieži ir dibinātāju – fizisku personu – kontrolē. Turklāt Latvijas jaunuzņēmumi nereti dibina sabiedrību ārvalstīs, lai piesaistītu ārvalstu riska kapitālu, jo prasība veidot uzņēmumu investora mītnes valstī ir tipiska riska kapitāla tirgus prakse.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50% slieksnis netiktu noteikts, pastāvētu būtisks risks, ka atbalstam var kvalificēties arī tādas situācijas, kur ārvalstīs dibināts uzņēmums Latvijā izveido filiāli tikai formāli (piemēram, lai izpildītu minimālu klātbūtnes prasību), bet stratēģiskie lēmumi, intelektuālā īpašuma pārvaldība un ieņēmumu plūsmas pēc būtības paliek ārpus Latvijas. Šādā modelī pētniecības un inovācijas aktivitātes var tikt īstenotas Latvijā ar ES un valsts līdzfinansējumu, bet rezultāts (piemēram, patenti, programmatūra, licences, komercializācijas ienākumi) tiek reģistrēts vai pārcelts uz mātes sabiedrību ārvalstīs. Papildus tas rada arī nevienlīdzīgas konkurences risku pret vietējiem komersantiem, kuri inovāciju attīstību un intelektuālā īpašuma komercializāciju veic Latvijā un attiecīgi nodrošina nodokļu un reinvestīciju pienesumu Latvijā. Tādēļ 50% slieksnis kalpo kā praktisks drošības mehānisms, lai atbalsts būtu vērsts uz projektiem, kuru rezultāti un ilgtermiņa ekonomiskais labums ir noturīgāk sasaistīts ar Latviju.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tiek piemērots vienādi visām ārvalsts komersanta filiālēm neatkarīgi no mātes sabiedrības reģistrācijas valsts, un tam ir leģitīms mērķis – nodrošināt, ka publiskais finansējums faktiski atbalsta tādu ekonomisko aktivitāti un rezultātus, kas ir cieši saistīti ar Latviju.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anotācija papildināta ar  skaidrojumu par šāda kritērija ieviešanu, kā arī procentuālā sadalījuma pamatojums.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gala labuma guvējs – Latvijas Republikas komercreģistrā reģistrēts komersants,  kā arī ārvalsts komersanta filiāle Latvijā, kas atbilst sīkā (mikro), mazā un vidējā komersanta statusam saskaņā ar Komisijas regulas Nr. 651/2014 2. panta 2. punktu, mazas vidējas kapitalizācijas sabiedrības saskaņā ar Eiropas Parlamenta un Padomes 2015. gada 25. jūnija Regulas (ES) 2015/1017 par Eiropas Stratēģisko investīciju fondu, Eiropas Investīciju konsultāciju centru un Eiropas Investīciju projektu portālu, ar ko groza Regulas (ES) Nr. 1291/2013 un (ES) Nr. 1316/2013 – Eiropas Stratēģisko investīciju fonds (turpmāk – regula Nr. 2015/1017), 2. pantu, kā arī vidējas kapitalizācijas sabiedrības saskaņā ar regulas Nr. 2015/1017 2. pantu un komersanti, kas atbilst lielā komersanta statusam saskaņā ar Komisijas regulas Nr. 651/2014 2. panta 24. punktu ar nosacījumu, ka tie sadarbojas ar sīkajiem (mikro), mazajiem vai vidējiem komersantiem pētniecības un inovācijas aktivitātēs, vai zinātniskā institūcija. Ārvalsts komersanta filiāle Latvijā var saņemt atbalstu, ja tā veic komercdarbību Latvijas Republikā un ja ārvalsts komersanta kapitālu daļu īpašnieks, kuram pieder vismaz 50 procenti kapitāla daļu, ir vai nu fiziska persona — Latvijas Republikas valsts piederīgais, vai Latvijas Republikā reģistrēta juridiska 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MKN grozījumu projektu ar izmaiņām MKN 7., 9. un 11. punktā, ņemot vērā to, ka ir pieejams elastības finansējums. Attiecīgi ir jādzēš MKN 7. un 11. punkts, bet 9. punktā jāprecizē pieejamais finansējums par visu plānoto summu. Skaidrojam, ka 2025.gada 15.decembrī ir saņemts Eiropas Komisijas lēmums par Latvijas iesniegto vidusposma pārskatu un aktuālo elastības finansējuma sadalījumu. Lūdzam atbilstoši papildināt arī anotāciju par elastības finansējumu, papildus skaidrojot, kā LIAA projektā plānots izmantot elastības finansējuma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MKN 9. punkta redakcijai:"9. Projekta īstenošanai pieejamais kopējais finansējums ir 23 307 116 euro, tai skaitā ERAF finansējums – 19 811 048 euro un valsts budžeta līdzfinansējums – 3 496 068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noteikumu projekts 7., 9. un 11. punktā un anotācijas 1.3 sadaļa papildināta ar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LIAA elastības finansējuma daļu  plāno izmantot grantu atbalstam 81,3% jeb 2 138 380 EUR apmērā, personāla izmaksām 16,26% jeb 427 676 EUR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netiešajām izmaksām  - 2,44% jeb  64 151 EUR.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papildināt anotāciju ar informāciju, kā izmaiņas atbalstāmajās darbībās ietekmē pasākuma ietvaros sasniedzamos iznākuma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papildināt anotāciju ar izvērtējumu par grozījumu ietekmi uz projektiem. Papildus lūdzam skaidrot, kas notiek ar projektiem, kuriem nepietika finansējums komercializācijas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 jautājumu par atbalstītajiem projektiem komercializācijas aktivitātēs, vēršam uzmanību, ka LIAA veica grozījumus "Atbalsts tehnoloģiju pārneses sistēmas pilnveidošanai" projekta budžetā atbilstoši aktuālajam pieprasījumam, pārdalot finansējumu, lai atbalstītu visus komercializācijas projektus, kas atbilst nosacījumiem.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1.3. sadaļu ar izvērtējumu par ietekmi uz finansējuma saņēmēju, tas ir </w:t>
            </w:r>
            <w:r w:rsidR="00000000" w:rsidRPr="00000000" w:rsidDel="00000000">
              <w:rPr>
                <w:rtl w:val="0"/>
              </w:rPr>
              <w:t xml:space="preserve">Latvijas Investīciju un attīstības aģentūra un ietvert skaidrojumu vai </w:t>
            </w:r>
            <w:r w:rsidR="00000000" w:rsidRPr="00000000" w:rsidDel="00000000">
              <w:rPr>
                <w:rtl w:val="0"/>
              </w:rPr>
              <w:t xml:space="preserve">vienošanos par projekta īstenošanu ir veicami attiecīgi grozījumi, ņemot vērā izstrādātos noteikumu projekta grozījumus. Papildus lūdzam ietvert skaidrojumu par noteikumu projekta grozījumu ietekmi un atlases procesu uz komersantiem jaunu produktu/pakalpojumu, pētniecības projektu izstrādei un komercializācijai.</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anotācijas 1.3.sadaļā precizēt ietverto teikumu "Lēmumus par pieteikumu apstiprināšanu vai noraidīšanu plānots pieņemt </w:t>
            </w:r>
            <w:r w:rsidR="00000000" w:rsidRPr="00000000" w:rsidDel="00000000">
              <w:rPr>
                <w:u w:val="single"/>
                <w:rtl w:val="0"/>
              </w:rPr>
              <w:t xml:space="preserve">līdz 2025. gada 13. janvārim</w:t>
            </w:r>
            <w:r w:rsidR="00000000" w:rsidRPr="00000000" w:rsidDel="00000000">
              <w:rPr>
                <w:rtl w:val="0"/>
              </w:rPr>
              <w:t xml:space="preserve">", ņemot vērā, ka anotācijā ir noteikts, ka atlases kārtas norise ir no 2025. gada 15. septembra līdz 2025. gada 13.oktobrim un 23 pieteikumi vēl ir vērtēšanā.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 kļūda, izlabots uz 2026. gada janvāri un informācija atjaunota ar aktuālajiem datiem.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1.2.1.4.pasākumā plānota darbība granta atbalsta nodrošināšanai gala labuma guvējiem jaunu komercializējamu produktu vai tehnoloģiju izstrādei (20.13. p.) un iesaistītās puses (zinātniskās institūcijas un komersanti), lūdzu papildināt anotāciju ar skaidrojumu par 1.2.1.4.pasākuma demarkāciju ar 1.1.1.3. pasākumu, jo šī demarkācija netika aprakstīta 1.2.1.4.pasākuma MK noteikumu anotācijas sākotnējā versijā.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1.6. sadaļā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mājaslapā 1.2.1.4 demarkācijas tabula papildināta, ka iespējama demarkācija ar 1.1.1.3. programmu, ņemot vērā, ka programmās tiek finansētas savstarpēji līdzīgas atbalsta darbības (granta piešķiršana zinātņietilpīgiem jaunuzņēmumiem, kas sadarbojas ar pētniecības organizācijām; ekonomiskās priekšizpētes, rūpniecisku pētījumu veikšana, projekta ietvaros radīto zinātību un tehnoloģiju pārnese, tai skaitā tehnoloģiju tiesību komercializācija, izstrādātā prototipa pilnveide,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atbalsta kumulāciju, Noteikumu projekta 84.punkts nosaka "Šo noteikumu ietvaros piešķirto de minimis atbalstu drīkst kumulēt ar citu de minimis atbalstu, tai skaitā attiecībā uz vienām un tām pašām attiecināmajām izmaksām (izņemot gadījumu, ja atbalsts saņemts Eiropas Savienības kohēzijas politikas programmas 2021.–2027. gadam 1.2.3.1. pasākuma "Atbalsts MVU inovatīvas uzņēmējdarbības attīstībai", 1.1.1.1. pasākuma "Zinātnes politikas ieviešana, vadība un kapacitātes stiprināšana", 1.2.1.1. pasākuma "Atbalsts jaunu produktu attīstībai un internacionalizācijai" 3. kārtas un Atveseļošanas un noturības mehānisma plāna 5.1.1.2.i. investīcijas "Atbalsta instruments pētniecībai un internacionalizācijai" ietvaros), līdz Komisijas regulas Nr. 2023/2831 3. panta 2. punktā noteiktajam attiecīgajam robežlielumam, kā arī drīkst kumulēt ar citu komercdarbības atbalstu, tai skaitā attiecībā uz vienām un tām pašām attiecināmajām izmaksām, vai citu valsts atbalstu tam pašam riska finansējuma pasākumam, ja netiek pārsniegta attiecīgā maksimālā atbalsta intensitāte vai atbalsta summa, kāda noteikta komercdarbības atbalsta programmā, ad-hoc lēmumā vai Eiropas Komisijas lēmumā. De minimis atbalstu ar citu de minimis atbalstu par vienām un tām pašām izmaksām var apvienot, ja pēc atbalstu apvienošanas atbalsta vienībai vai izmaksu pozīcijai attiecīgā maksimālā atbalsta intensitāte nepārsniedz 100 procentus."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84.1 punktā - "Ja par vienām un tām pašām projekta attiecināmajām izmaksām tiek piešķirts atbalsts vairāku komercdarbības atbalsta programmu ietvaros, gala labuma guvējs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projekta ietekmi uz Latvijas Investīciju un attīstības aģentūru kā finansējuma saņēmēju, un pēc nepieciešamības papildināt noteikumu projekta 7.sadaļu atbilstoši Valsts kancelejas 2021.gada vadlīnijām "Vadlīnijas tiesību akta projekta sākotnējās ietekmes novērtēšanai un novērtējuma ziņojuma sagatavošanai vienotajā tiesību aktu izstrādes un saskaņošanas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papildināta 7. sadaļa.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nerada papildus administratīvo slogu uz finansējuma saņēmēju - Latvijas Investīciju un attīstības aģentūru kā programmas pasākuma īstenotāju, jo tiek precizēti skaidrāki noteikumu nosacījumi, un svītrotas  noteikumu sadaļas, kas vairs nav aktuālas. Turklāt, ar noteikumu grozījumu projektu LIAA tiek piešķirts papildu finansējums komersantu atbalstam, kas izriet no Eiropas Komisijas lēmuma par vidusposma pārskatā iekļauto elastības finansējumu. LIAA spēj nodrošināt ar grozījumiem saistītās izmaiņas projekta plānotās kapacitātes (t.sk. cilvēkresursu)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zinātņietilpīgs jaunuzņēmums – komersants, kas attīsta produktu vai tehnoloģiju, kuru izstrādājusi tāda zinātniskā institūcija, kas Eiropas Savienības dalībvalstī, Eiropas Ekonomikas zonas valstī vai Šveices Konfederācijā reģistrēta kā pētniecības organizācija vai iekļauta attiecīgās valsts pētniecības organizāciju reģistrā, un atbilst vismaz vienam no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vai sniegt informāciju par ES valstu vai citu minēto valstu pētniecības organizācijas reģistriem, vai tādi ir pieejami. Pēc IZM rīcībā esošās informācijas, daļa Eiropas valstu šādu reģistru neveido, lūdzot pētniecības organizācijām sniegt atzinumu par tās PO statusu. Ja šāda reģistra kādā no minētajām valstīm nav, kā ir plānots pārbaudīt statusu?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anotācijas 1.3.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gatavojot attiecīgo redakciju tika identificēta situācija, ka ne visās Eiropas Savienības un Eiropas Ekonomikas zonas dalībvalstīs tiek uzturēti zinātnisko institūciju reģistri, tādēļ noteikumu projekta 2.17.apakšpunkta redakcijā ir atsauce uz reģistrēšanas faktu vai gadījumā, ja attiecināms - uz iekļaušanu attiecīgā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nosacījums par reģistru attiecas tikai uz tām valstīm, kur tāds pastāv, uz pārējām valstīm attiecas pirmais nosacījums.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informācija  par reģistrēšanās faktu nav atrodama pētniecības organizāciju reģistrā (praksē tiek pārbaudīta publiski pieejamā informācija), tad komersants LIAA iesniedz dokumentāciju, kas pamato atbilstību pētniecības organizācijas statusam.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jaunās redakcijas terminoloģija ir salāgota ar inovāciju vaučera atbalsta nosacījumiem  (Noteikumu projekta 41.punktu), kur tiek piemēroti tie paši nosacījumi.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zinātņietilpīgs jaunuzņēmums – komersants, kā arī ārvalstu komersanta filiāle Latvijā, kas atbilst šo noteikumu 2.2. apakšpunktā minētajiem kritērijiem un kas attīsta produktu vai tehnoloģiju, kuru izstrādājusi tāda zinātniskā institūcija, kas Eiropas Savienības dalībvalstī, Eiropas Ekonomikas zonas valstī vai Šveices Konfederācijā reģistrēta kā pētniecības organizācija vai iekļauta attiecīgās valsts pētniecības organizāciju reģistrā, un atbilst vismaz vienam no šādiem nosacījumiem: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25-TA-2372</w:t>
    </w:r>
    <w:r>
      <w:br/>
    </w:r>
    <w:r w:rsidR="00000000" w:rsidRPr="00000000" w:rsidDel="00000000">
      <w:rPr>
        <w:rtl w:val="0"/>
      </w:rPr>
      <w:t xml:space="preserve">02.06.2026. 13.30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25-TA-2372</w:t>
    </w:r>
    <w:r>
      <w:br/>
    </w:r>
    <w:r w:rsidR="00000000" w:rsidRPr="00000000" w:rsidDel="00000000">
      <w:rPr>
        <w:rtl w:val="0"/>
      </w:rPr>
      <w:t xml:space="preserve">02.06.2026. 13.30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Izziņa_25-TA-2372.docx</dc:title>
</cp:coreProperties>
</file>

<file path=docProps/custom.xml><?xml version="1.0" encoding="utf-8"?>
<Properties xmlns="http://schemas.openxmlformats.org/officeDocument/2006/custom-properties" xmlns:vt="http://schemas.openxmlformats.org/officeDocument/2006/docPropsVTypes"/>
</file>