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23-TA-2995: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Gaisa piesārņojuma samazināšanas rīcības plāna 2020.-2030. gadam izpildi 2020., 2021. un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tekstā </w:t>
            </w:r>
            <w:r w:rsidR="00000000" w:rsidRPr="00000000" w:rsidDel="00000000">
              <w:rPr>
                <w:i w:val="1"/>
                <w:rtl w:val="0"/>
              </w:rPr>
              <w:t xml:space="preserve">"Rīgas dome (RD)"</w:t>
            </w:r>
            <w:r w:rsidR="00000000" w:rsidRPr="00000000" w:rsidDel="00000000">
              <w:rPr>
                <w:rtl w:val="0"/>
              </w:rPr>
              <w:t xml:space="preserve"> aizstāt ar </w:t>
            </w:r>
            <w:r w:rsidR="00000000" w:rsidRPr="00000000" w:rsidDel="00000000">
              <w:rPr>
                <w:b w:val="1"/>
                <w:i w:val="1"/>
                <w:rtl w:val="0"/>
              </w:rPr>
              <w:t xml:space="preserve">"Rīgas valstspilsētas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lpp </w:t>
            </w:r>
            <w:r w:rsidR="00000000" w:rsidRPr="00000000" w:rsidDel="00000000">
              <w:rPr>
                <w:i w:val="1"/>
                <w:rtl w:val="0"/>
              </w:rPr>
              <w:t xml:space="preserve">''</w:t>
            </w:r>
            <w:r w:rsidR="00000000" w:rsidRPr="00000000" w:rsidDel="00000000">
              <w:rPr>
                <w:b w:val="1"/>
                <w:i w:val="1"/>
                <w:rtl w:val="0"/>
              </w:rPr>
              <w:t xml:space="preserve">Cents</w:t>
            </w:r>
            <w:r w:rsidR="00000000" w:rsidRPr="00000000" w:rsidDel="00000000">
              <w:rPr>
                <w:i w:val="1"/>
                <w:rtl w:val="0"/>
              </w:rPr>
              <w:t xml:space="preserve">-Torņkalns-Ziepniekk</w:t>
            </w:r>
            <w:r w:rsidR="00000000" w:rsidRPr="00000000" w:rsidDel="00000000">
              <w:rPr>
                <w:b w:val="1"/>
                <w:i w:val="1"/>
                <w:rtl w:val="0"/>
              </w:rPr>
              <w:t xml:space="preserve">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pareizrakstības kļūdas ziņojuma 50. lappusē </w:t>
            </w:r>
            <w:r w:rsidR="00000000" w:rsidRPr="00000000" w:rsidDel="00000000">
              <w:rPr>
                <w:i w:val="1"/>
                <w:rtl w:val="0"/>
              </w:rPr>
              <w:t xml:space="preserve">''</w:t>
            </w:r>
            <w:r w:rsidR="00000000" w:rsidRPr="00000000" w:rsidDel="00000000">
              <w:rPr>
                <w:b w:val="1"/>
                <w:i w:val="1"/>
                <w:rtl w:val="0"/>
              </w:rPr>
              <w:t xml:space="preserve">Cents</w:t>
            </w:r>
            <w:r w:rsidR="00000000" w:rsidRPr="00000000" w:rsidDel="00000000">
              <w:rPr>
                <w:i w:val="1"/>
                <w:rtl w:val="0"/>
              </w:rPr>
              <w:t xml:space="preserve">-Torņkalns-Ziepniek</w:t>
            </w:r>
            <w:r w:rsidR="00000000" w:rsidRPr="00000000" w:rsidDel="00000000">
              <w:rPr>
                <w:b w:val="1"/>
                <w:i w:val="1"/>
                <w:rtl w:val="0"/>
              </w:rPr>
              <w:t xml:space="preserve">klans'</w:t>
            </w:r>
            <w:r w:rsidR="00000000" w:rsidRPr="00000000" w:rsidDel="00000000">
              <w:rPr>
                <w:i w:val="1"/>
                <w:rtl w:val="0"/>
              </w:rPr>
              <w:t xml:space="preserve">'</w:t>
            </w:r>
            <w:r w:rsidR="00000000" w:rsidRPr="00000000" w:rsidDel="00000000">
              <w:rPr>
                <w:rtl w:val="0"/>
              </w:rPr>
              <w:t xml:space="preserve"> uz “Cent</w:t>
            </w:r>
            <w:r w:rsidR="00000000" w:rsidRPr="00000000" w:rsidDel="00000000">
              <w:rPr>
                <w:b w:val="1"/>
                <w:rtl w:val="0"/>
              </w:rPr>
              <w:t xml:space="preserve">r</w:t>
            </w:r>
            <w:r w:rsidR="00000000" w:rsidRPr="00000000" w:rsidDel="00000000">
              <w:rPr>
                <w:rtl w:val="0"/>
              </w:rPr>
              <w:t xml:space="preserve">s – Torņakalns – Ziepniek</w:t>
            </w:r>
            <w:r w:rsidR="00000000" w:rsidRPr="00000000" w:rsidDel="00000000">
              <w:rPr>
                <w:b w:val="1"/>
                <w:rtl w:val="0"/>
              </w:rPr>
              <w:t xml:space="preserve">kalns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koriģēts.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5. tabulas “Pašvaldību atbildībā esošo pasākumu izpilde” 3.2.punktā aktualizēt informāciju par Ogres novada pašvaldības atbildībā esošo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“2020.–2022.gadu periodā Ogres novada pašvaldībā nav izstrādāti saistošie noteikumi zonējumam ar prioritāri pieslēdzamiem objektiem centralizētajām siltumapgādes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2012.gada 21.jūnija saistošo noteikumu Nr.16/2012 “Ogres novada teritorijas izmantošanas un apbūves noteikumi” (turpmāk – SN16/2012)[1] 7.pielikumā “Ogres novada teritorijas atļautās un plānotās izmantošanas kartes”[2] ir noteikta centralizētās siltumapgādes zona Ogres pilsētas teritorijā. Saskaņā ar SN16/2012 235.punktu centralizētās siltumapgādes teritorija ir teritorijas plānojumā attēlota teritorija, kur noteiktas prasības jaunas decentralizētas siltumapgādes ierīkošanai esošos daudzdzīvokļu namos un publiskās ēkās, lai samazinātu gaisa piesārņojumu no stacionāriem izmešu avotiem un panāktu efektīvu un drošu centralizētās siltumapgādes sistēmu darbību. SN16/2012 236.punkts noteic, ka centralizētās siltumapgādes teritorijā daudzdzīvokļu namos un publiskās ēkās, kur pastāv centralizētā siltumapgāde, jaunu, decentralizētu siltumavotu izbūve atļauta tikai gadījumos, ja siltumapgādei plānots izmantot tehnoloģijas, kas neparedz kurināmā sadedzināšanu. Pieslēgumi centralizētām sistēmām ārpus minētās zonas ir klienta izvēle atbilstoši izdevīgākajam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aktualizēta. Vienlaikus norādām, ka informāciju, kas bija informatīvā ziņojuma sākotnējā versijā, saņēmām no Ogres novada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4.tabulā "Rīcības plāna 8.2. sadaļā esošo pasākumu izpilde" kolonnā "Sasniegtais" norādīto informāciju par tālāk minētajiem rīcības plāna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1.8.pasākumam norādīto sasniegtā rezultāta aprakstu, ņemot vērā, ka šobrīd norādītā informācija ir par energoefektivitātes pasākumu īstenošanu valsts ēkās, ko īsteno Ekonomikas ministrija 4.2.1.2.pasākumā "Veicināt energoefektivitātes paaugstināšanu valsts ēkās". Vēršam uzmanību, ka atbalsta pasākumi centralizētās siltumapgādes infrastruktūras attīstībai tiek īstenoti Ekonomikas ministrijas pārziņā esošā 4.3.1.specifiskā atbalsta mērķa "Veicināt energoefektivitāti un vietējo AER izmantošanu centralizētajā siltumapgādē" ietvaros. Lūdzam nodrošināt atbilstošu precizējumu veikšanu arī 4.tabulas 3.3.pasākuma sasniegto rezultātu aprakstā. Vienlaikus lūdzam aktualizēt informāciju arī par atbalsta programmām norādīto finansējumu, nodrošinot aktuālas informācijas atspoguļošanu (aktuālā informācija par atbalsta programmu finansējumu pieejama arī tīmekļu vietnē www.esfondi.lv).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2.1. pasākumam norādīto sasniegtā rezultāta aprakstu, norādot korektu finansējumu 4.2.1.2. pasākumam "Veicināt energoefektivitātes paaugstināšanu valsts ēkās" (pirmajai un otrajai kārtai) un 4.1.1. specifiskajam atbalsta mērķim "Veicināt efektīvu energoresursu izmantošanu, enerģijas patēriņa samazināšanu un pāreju uz AER apstrādes rūpniecības nozarē" (pirmā, otrā un trešā kārta). Aicinām vērtēt iespēju atspoguļot informāciju par atbalsta programmu kopējo ieguldījumu (finansējumu), ieskaitot arī nacionālo, t.sk. privāto,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2.3. pasākumam norādīto sasniegtā rezultāta aprakstu, norādot korektu finansējumu 4.3.1. specifiskajam atbalsta mērķim "Veicināt energoefektivitāti un vietējo AER izmantošanu centralizētajā siltumapgādē" (pirmā, otrā un trešā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4.4.pasākumam norādīto sasniegtā rezultāta rādītāja aprakstu, ņemot vērā, ka 4.5.1.2. pasākuma "Attīstīt videi draudzīgu sabiedriskā transporta infrastruktūru (autobusi)" ietvaros iegādāti 123 dažāda veida videi draudzīgi sabiedriskā transporta transportlīdzekļi, tostarp arī autobusi.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precizēt 4.6.pasākumam norādīto sasniegtā rezultāta rādītāja aprakstu, precizējot finansējumu. Vēršam uzmanību, ka pēc grozījumiem Atveseļošanas fonda plānā Atveseļošanas fonda finansējums 1.1.1.2.i.2.pasākuma "Videi draudzīgi uzlabojumi Rīgas pilsētas sabiedriskā transporta sistēmā" īstenošanai plānots 87 285 492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Informējam, ka 4.5.1.2. pasākums – jaunu transportlīdzekļu iegāde, esošo transportlīdzekļu aprīkošana ar elektrību un saspiesto dabasgāzi vai saistītās uzlādes vai uzpildes infrastruktūras izveide – attiecas tikai uz autobusiem, neizdalot citus sabiedriskā transporta transportlīdzekļud. Skaidrojam, ka darbības programmas “Izaugsme un nodarbinātība” iznākuma rādītājs “Jaunu videi draudzīgu sabiedriskā transporta transportlīdzekļu skaits” (123 transportlīdzekļi) attiecas tikai un vienīgi uz 4.5.1.2.pasākuma “Attīstīt videi draudzīgu sabiedriskā transporta infrastruktūru (autobusi)” ietvaros iegādātajiem autobusiem, un šis rādītājs neattiecas uz citiem transportlīdzekļu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tekstā "Rīgas dome (RD)" aizstāt ar "Rīgas valstspilsētas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informatīvo ziņojumu kontekstā ar Ministru kabineta 2020. gada 16. aprīļa rīkojumu Nr. 197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Gaisa piesārņojuma samazināšanas rīcības plānu 2020.-2030. gadam", ar kura 1. punktu tika apstiprināts "Gaisa piesārņojuma samazināšanas rīcības plānu 2020.-2030. gadam" (turpmāk - plāns), jo šķietami pastāv atšķirības starp plānā noteikto un informatīvajā ziņojumā ietverto, piemēram,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1. un 2. tabula šķietami satur no plāna atšķirīgu informāciju, piemēram, nav iekļauta stacija Mīlgrāvis, stacija TPAIS "Liepāja" 1. tabulā tiek iedalīta sadaļā "Ventspils", 2. tabulā sadaļā "Liepāja", nesniedzot izvērstāku skaidrojumu, kāpēc. Tajā pašā laikā kā adrese domājams norādīta Liepāja, bet zemsvītras piezīmēs vispārīga norāde uz to, ka mainīta atrašanās vieta, bez konkrētākiem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4. tabulas sadaļās "Rezultatīvais rādītājs. Sasniegtais." atsevišķos punktos šķietami nav sniegti visaptveroši skaidrojumi, piemēram, 3.4. apakšpunktā skaidroti visu atbildīgo institūciju sasniegtie rezultāti, izņemot </w:t>
            </w:r>
            <w:r w:rsidR="00000000" w:rsidRPr="00000000" w:rsidDel="00000000">
              <w:rPr>
                <w:rtl w:val="0"/>
              </w:rPr>
              <w:t xml:space="preserve">Rēzeknes, Valmieras un Daugavpils domes rezultātus. Alternatīvi iesakām norādīt vismaz informāciju par to, ka izvērtēšana nav veikta, ja tas ir iemesls kāpēc informācija nav ietverta, analoģiski tam, kā tas darīts atsevišķās informatīvā ziņojuma sadaļās. Līdzīgi arī informatīvā ziņojuma 5. tabulā (piemēram, 1.7. un 3.2. apakšpunktā) pie rezultatīvajiem rādītājiem nav informācijas par visām uzskaitītajām pašvaldībām. Savukārt, piemēram 1.9. apakšpunkta sadaļā "Rezultatīvais rādītājs. Sasniegtais." skaidrota situācija 3 terminālos, lai gan plānotās aktivitātes attiecas uz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4. tabulā ietvertie punkti, uzdevumi tiek dalīti apakšuzdevumu grupās, salīdzinot 4. tabulu ar plānu konstatējams, ka ne visas apakšuzdevumu grupas tiek izdalītas informatīvajā ziņojumā, piemēram, "Videi draudzīga kūtsmēslu apsaimniekošana ārpus novietnes" vai "Veicināt apkures iekārtu uzskaiti, kā arī veco un neefektīvo apkures iekārtu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4. tabulas sadaļā "Pasākums" 6.5. punktam ietverts plānā neparedzēts 2)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4. tabulas sadaļās "Atbildīgās institūcijas" atsevišķos apakšpunktos, piemēram, 8.5.apakšpunktā norādītas nevis no plāna izrietošās atbildīgās institūcijas, bet līdzatbildīgās institūcijas. Savukārt, piemēram, 3.6. apakšpunktā atbilstoši plānam, jābūt arī "Rēzeknes pilsētas dome", kas nav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informatīvā ziņojuma 4. tabulas sadaļās "Rezultatīvais rādītājs. Sasniegtais." atsevišķos punktos šķietami trūkst skaidrojuma par no sadaļas "Rezultatīvais rādītājs. Plānotais." izrietošajiem, veiktajiem izvērtējumiem, rekomendācijām, pētījumiem, kontroles plāniem. Attiecīgi iesakām nodrošināt pilnīgus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informatīvā ziņojuma 4. tabulas 9.8. apakšpunkta sadaļā "Rezultatīvais rādītājs. Plānotais." ietverti trīs sasniedzamie rezultatīvie rādītāji, plānā definēti četri. Savukārt, piemēram, 7.1. un 7.2. apakšpunktā ietverti plānā neparedzēti formulējumi "pārejot uz augstāku detalizācijas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informatīvā ziņojuma 5. tabulas 8.4. apakšpunkta sadaļā "izpildes termiņš" norādīts "2021.-2027.", kas atšķiras gan no plānā norādītā, gan informatīvā ziņojuma 4. tabulā norādītā. Savukārt, piemēram, 4. tabulas 9.1. apakšpunktā norādīts ne tikai plānā paredzētais termiņš, bet arī papildus jauns termiņš, bet 1.9. apakšpunktā no plāna atšķirīgs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vai nav nepieciešams precizēt arī 2.1.1. apakšsadaļas skaidrojumu par to, ka Latvija tiek izdalītas divās zonās gaisa kvalitātes novērtēšanai un pārvaldībai, pie pārējās Latvijas teritorijas speciāli neuzsverot "Rīgas pilsētas administratīvo teritoriju, jo tā tiek skaidri ietverta pie pirmās zonas skaidrojuma. Savukārt gaisa kvalitātes monotoringa vietu uzskaitījumu papildināt ar skaidrojumu, kāpēc tas atšķiras no plānā ietvertā uzskaitījuma, domājams, ietverot skaidrojumu par administratīvi teritoriālo reformu.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Iekļautas papildu stacijas un tabula koriģēta atbilstoši monitoringa staciju novietojumam.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 pasākumā papildināta informācija par Rīgas brīvostu. Par 3.4. pasākumu paskaidrojam, ka informācijas pieprasījums tika izsūtīts visām pašvaldībām, un informatīvajā ziņojumā apkopotas pašvaldību sniegtās atbildes. Atsevišķas pašvaldības pat pēc atkārtota lūguma izvēlējās nesniegt atbildi, savukārt dažas pašvaldības sniedza atbildi par daļu, nevis visiem pasākumiem. Attiecīgi informatīvais ziņojums papildināts, norādot pašvaldības, kuras atbildi par konkrētajiem pasākumiem nav sniegušas.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rtl w:val="0"/>
              </w:rPr>
              <w:t xml:space="preserve">Pievienoti trūkstošie apakšuzdevumi.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Paskaidrojam, ka katrai atbildīgajai institūcijai VARAM izsūtīja informācijas pieprasījums par Rīcības plāna izpildi, un atbildes tika apkopotas šajā informatīvajā ziņojumā. VARAM ieskatā šāds sasniegtais rādītājs, kas sadalīts divās daļās, ir korekts, jo uzskatāmi ataino atbalstīto projektu skaitu un izmantotā finansējuma apjomu diviem atsevišķiem pasākumiem, kas iekļaujas 6.5. pasākumā - viens no pasākumiem attiecas tikai uz šķidro kūtsmēslu krātuvju nosegšanu, bet otrs ietver arī krātuvju būvniecību, kuras mērķis ir veicināt šķidro kūtsmēslu krātuvju nosegšanu.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rtl w:val="0"/>
              </w:rPr>
              <w:t xml:space="preserve">Atbildīgās institūcijas koriģētas atbilstoši spēkā esošajam Rīcības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Katrai atbildīgajai institūcijai VARAM izsūtīja informācijas pieprasījums par Rīcības plāna izpildi, un atbildes tika apkopotas šajā informatīvajā ziņojumā. Tāpēc VARAM ieskatā iespēju robežās ir paskaidrots par visu plānoto darbību izpildi, kā arī atbilstīgi sasniegtajam rezultātam ir norādīts izpildes statuss. Ja minētais izpildes statuss ir uzrādīts kā "turpināms", "daļēji izpildīts" vai "nav izpildīts", uzskatām, ka rezultatīvais rādītājs var būt arī nepilnīgs un šo pasākumu progress tiks uzrādīts nākotnē izstrādājamajos Rīcības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rtl w:val="0"/>
              </w:rPr>
              <w:t xml:space="preserve">Pasākuma plānotais rezultatīvais rādītājs koriģēts atbilstoši spēkā esošajam Rīcības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rtl w:val="0"/>
              </w:rPr>
              <w:t xml:space="preserve">Izpildes termiņi izlaboti atbilstoši oriģinālajam Rīcības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rtl w:val="0"/>
              </w:rPr>
              <w:t xml:space="preserve">Informatīvais ziņojums papildināts atbilstoši iebildumam - pievienota informācija par zonu pamatojumu, kā arī pievienots pamatojums par monitoringa vietu maiņu.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8.tabulā "Rīcības plāna 8.2. sadaļā esošo pasākumu izpilde"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precizējot 1.8.sadaļā sasniegtā rezultāta rādītāja aprakstu, ņemot vērā, ka veicamais pasākums ir ieguldījumi siltumapgādē, bet sasniegtā rezultātā rādītāja aprakstā norādīta informācija par ieguldījumiem energoefektivitātes pasākumā (Ekonomikas ministrijas īstenotais 4.2.1.2.pasākums "Veicināt energoefektivitātes paaugstināšanu valsts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2.1.sadaļā aizstājot Eiropas Reģionālās attīstības fondu ar Kohēzijas fondu pie 4.1.1.specifiskā atbalsta mērķa "Veicināt efektīvu energoresursu izmantošanu, enerģijas patēriņa samazināšanu un pāreju uz AER apstrādes rūpniecības nozarē", ņemot vērā, ka ieguldījumi minētā specifiskā atbalsta mērķa ietvaros veikti ar Kohēzijas fonda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1.8. sadaļā precizēts rezultāta rādītājs, papildinot teikumu ar "kas cita starpā paredz arī publisko būvju pieslēgšanu centralizētajai vai lokālajai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Veiktas korekcijas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lpp "</w:t>
            </w:r>
            <w:r w:rsidR="00000000" w:rsidRPr="00000000" w:rsidDel="00000000">
              <w:rPr>
                <w:b w:val="1"/>
                <w:i w:val="1"/>
                <w:rtl w:val="0"/>
              </w:rPr>
              <w:t xml:space="preserve">Ogre:</w:t>
            </w:r>
            <w:r w:rsidR="00000000" w:rsidRPr="00000000" w:rsidDel="00000000">
              <w:rPr>
                <w:i w:val="1"/>
                <w:rtl w:val="0"/>
              </w:rPr>
              <w:t xml:space="preserve"> Pašvaldībā nav izstrādāti saistošie noteikumi zonējumam ar prioritāri pieslēdzamiem objektiem centralizētajām siltumapgādes sistēmām. Pieslēgumi centralizētām sistēmām ir klienta izvēla atbilstoši izdevīgākajam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w:t>
            </w:r>
            <w:r w:rsidR="00000000" w:rsidRPr="00000000" w:rsidDel="00000000">
              <w:rPr>
                <w:i w:val="1"/>
                <w:rtl w:val="0"/>
              </w:rPr>
              <w:t xml:space="preserve">“Par Gaisa piesārņojuma samazināšanas rīcības plāna 2020.-2030. gadam izpildi 2020., 2021. un 2022. gadā”</w:t>
            </w:r>
            <w:r w:rsidR="00000000" w:rsidRPr="00000000" w:rsidDel="00000000">
              <w:rPr>
                <w:rtl w:val="0"/>
              </w:rPr>
              <w:t xml:space="preserve"> 5. tabulas </w:t>
            </w:r>
            <w:r w:rsidR="00000000" w:rsidRPr="00000000" w:rsidDel="00000000">
              <w:rPr>
                <w:i w:val="1"/>
                <w:rtl w:val="0"/>
              </w:rPr>
              <w:t xml:space="preserve">“Pašvaldību atbildībā esošo pasākumu izpilde” </w:t>
            </w:r>
            <w:r w:rsidR="00000000" w:rsidRPr="00000000" w:rsidDel="00000000">
              <w:rPr>
                <w:rtl w:val="0"/>
              </w:rPr>
              <w:t xml:space="preserve">3.2. punktā aktualizēt informāciju par Ogres novada pašvaldības atbildībā esošo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“2020.–2022. gadu periodā Ogres novada pašvaldībā nav izstrādāti saistošie noteikumi zonējumam ar prioritāri pieslēdzamiem objektiem centralizētajām siltumapgādes sistēmām. Ogres novada pašvaldības 2012. gada 21. jūnija saistošo noteikumu Nr. 16/2012 “Ogres novada teritorijas izmantošanas un apbūves noteikumi” (turpmāk – SN16/2012)  7. pielikumā “Ogres novada teritorijas atļautās un plānotās izmantošanas kartes”  ir noteikta centralizētās siltumapgādes zona Ogres pilsētas teritorijā. Saskaņā ar SN16/2012 235. punktu centralizētās siltumapgādes teritorija ir teritorijas plānojumā attēlota teritorija, kur noteiktas prasības jaunas decentralizētas siltumapgādes ierīkošanai esošos daudzdzīvokļu namos un publiskās ēkās, lai samazinātu gaisa piesārņojumu no stacionāriem izmešu avotiem un panāktu efektīvu un drošu centralizētās siltumapgādes sistēmu darbību. SN16/2012 236. punkts noteic, ka centralizētās siltumapgādes teritorijā daudzdzīvokļu namos un publiskās ēkās, kur pastāv centralizētā siltumapgāde, jaunu, decentralizētu siltumavotu izbūve atļauta tikai gadījumos, ja siltumapgādei plānots izmantot tehnoloģijas, kas neparedz kurināmā sadedzināšanu. Pieslēgumi centralizētām sistēmām ārpus minētās zonas ir klienta izvēle atbilstoši izdevīgākajam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aktualizēta. Vienlaikus norādām, ka informāciju, kas bija informatīvā ziņojuma sākotnējā versijā, saņēmām no Ogres novada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49. un 50. lpp. ir informācija par veloinfrastruktūras būvniecību (Rīgas pilsēta, Mārupes novads). Uzskatām, ka būtu  lietderīgi pieminēt arī jaunākās ziņas par Ķekavas novada velonifrastruktūru  – nākuši klāt gandrīz 30 km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https://kekava.lv/nekategorizets/kekavas-novada-atklata-apjomiga-gajeju-un-veloinfrastruktura-turpinas-jaunu-projektu-buvnieciba/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Pierīgas pašvaldības Rīcības plānā norādītas kā līdzatbildīgās institūcijas, informācija par šī pasākuma izpildi tām netika prasīta, savukārt Mārupes novads informāciju atsūtīja pēc pašu iniciatīvas. Tomēr, ņemot vērā priekšlikumu, informācija papildināta arī par Ķekavas novadu.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 informatīvā ziņojuma 6.lpp. pievienojot informāciju kuras starptautiskās konvencijas ir ietekmējušas emisiju samazināšanos un  informatīvā ziņojuma 7. lpp. pievienojot atsauci, kura gada emisiju ziņojums izmantots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informācija par starptautiskajām saistībām 1. nodaļā, kā arī 2.1.2. nodaļā (14.lpp.) zemsvītras piezīmē norādīts emisiju datu avots, t.sk. datums, kad dati iesniegti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Zņojuma 50. lappusē Lūdzam labot tekstu 'Cents-Torņkalns-Ziepniekklans'' uz “Centrs – Torņakalns – Ziepniekkalns”.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koriģēts.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Informatīvā ziņojuma 19. lpp 2.3. punkta un 22. lpp 3.3. punkta sadaļā "Sasniegtais" pievienot papildu informāciju (lūdzu skatīt "piedāvāto redakciju"), kā arī sadaļā "Atbildīgās institūcijas" pievienot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pašlaik izstrādā Ministru kabineta noteikumus par 2.1.1.3. specifiskā atbalsta mērķa pasākumu "AER izmantošana un energoefektivitātes paaugstināšana lokālajā un individuālajā siltumapgādē un aukstumapgādē" ar kopējo finansējumu 56 550 000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un 3.3. punkts papildināts ar šādu teikumu: "KEM pašlaik izstrādā Ministru kabineta noteikumus par  Eiropas Savienības Kohēzijas politikas programmas 2021.–2027. gadam 2.1.1. specifiskā atbalsta mērķa "Energoefektivitātes veicināšana un siltumnīcefekta gāzu emisiju samazināšana” 2.1.1.3. pasākumu "AER izmantošana un energoefektivitātes paaugstināšana lokālajā un individuālajā siltumapgādē un aukstumapgādē" ar kopējo finansējumu 56 550 000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19. lpp 2.3. punktā un 22. lpp 3.3. punktā precizēt termiņu attiecībā uz 4.3.1. specifisko atbalsta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2022. gada 23. decembra rīkojuma Nr. 968 “Par Ekonomikas ministrijas un Vides aizsardzības un reģionālās attīstības ministrijas reorganizāciju un Klimata un enerģētikas ministrijas izveidošanu” 1. punktam, Klimata un enerģētikas ministrija ir izveidota ar 2023. gada 1. janvāri, un to, ka informatīvajā ziņojumā sniegts pārskats par Gaisa piesārņojuma samazināšanas rīcības plāna 2020.-2030. gadam izpildi 2020., 2021. un 2022. gadā, aicinām izvērtēt, vai informatīvā ziņojuma 2.2. sadaļas 4. tabulas 3.7. punktā kā atbildīgā institūcija būtu norādāma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Emisijas kvotu izsolīšanas instrumenta ietvaros pieejamo finanšu līdzekļu izmantošanas virzieni ir noteikti likuma "Par piesārņojumu" 32.</w:t>
            </w:r>
            <w:r w:rsidR="00000000" w:rsidRPr="00000000" w:rsidDel="00000000">
              <w:rPr>
                <w:vertAlign w:val="superscript"/>
                <w:rtl w:val="0"/>
              </w:rPr>
              <w:t xml:space="preserve">2 </w:t>
            </w:r>
            <w:r w:rsidR="00000000" w:rsidRPr="00000000" w:rsidDel="00000000">
              <w:rPr>
                <w:rtl w:val="0"/>
              </w:rPr>
              <w:t xml:space="preserve">panta 4</w:t>
            </w:r>
            <w:r w:rsidR="00000000" w:rsidRPr="00000000" w:rsidDel="00000000">
              <w:rPr>
                <w:vertAlign w:val="superscript"/>
                <w:rtl w:val="0"/>
              </w:rPr>
              <w:t xml:space="preserve">4 </w:t>
            </w:r>
            <w:r w:rsidR="00000000" w:rsidRPr="00000000" w:rsidDel="00000000">
              <w:rPr>
                <w:rtl w:val="0"/>
              </w:rPr>
              <w:t xml:space="preserve">daļā, paredzot, ka izsoļu ieņēmumus izmanto, lai mazinātu klimata pārmaiņas un nodrošinātu pielāgošanos klimata pārmaiņām, tai skaitā siltumnīcefekta gāzu emisijas samazināšanai vai ierobežošanai enerģētikas, rūpniecības, transporta, lauksaimniecības, mežsaimniecības un atkritumu apsaimniekošanas nozarēs, tostarp, paplašinot atjaunīgo energoresursu izmantošanu. Ņemot vērā iepriekš minēto, Klimata un enerģētikas ministrija atbalsta programmu ietvaros nodrošina finansējumu fosilos energoresursu izmantojošu apkures katlu nomaiņai, nevis neefektīvu biomasas apkures iekārtu nomaiņai.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svītrot 2.2. sadaļas 4. tabulas 3.7. punktā ietverto atsauci uz Emisijas kvotu izsolīšanas instrumentu, norādot informāciju par citām Vides aizsardzības un reģionālās attīstības ministrijas, kā par šī pasākuma atbildīgo institūciju, īstenotām atbalsta programmām šajā periodā, kas vērstas uz gaisa piesārņojuma mazināšanu, vai, ja tādu nav, norādīt, ka Vides aizsardzības un reģionālās attīstības ministrija laika periodā no 2020.-2022. gadam šādas atbalsta programmas nav īstenojusi.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2.2. sadaļas 4. tabulas 3.3. punkta redakciju kolonnā "Sasniegtais", informāciju par Emisijas kvotu izsolīšanas instrumenta ietvaros īstenoto atbalsta programmu izdalot kā jaunu apakšpunktu, kā arī norādot informāciju par atbalsta programmas īstenotāju, jo no pašreizējās redakcijas skaidri neizriet, ka tā ir nodalīta atbalsta programma no 2) apakšpunktā minētā SAM "Veicināt energoefektivitāti un vietējo AER izmantošanu centralizētajā siltumapgādē".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2.2. sadaļas 4. tabulas 2.3. punkts paredz atbalsta sniegšanu arī tādu AER tehnoloģiju izmantošanai, kas nerada emisijas, kā arī to, ka šajā punktā (kolonnas "Sasniegtais" 2) apakšpunktā) tiek ietverta informācija par Emisijas kvotu izsolīšanas instrumenta ietvaros finansēto projektu atklāto konkursu "Siltumnīcefekta gāzu emisiju samazināšana mājsaimniecībās – atbalsts atjaunojamo energoresursu izmantošanai", aicinām papildināt šo sadaļu, norādot, ka konkursa ietvaros finansiāls atbalsts tika sniegts arī esošu fosilos energoresursus izmantojošu apkures katlu nomaiņai pret jaunām siltumenerģijas ražošanas iekārtām un šādu siltumenerģiju ražošanas iekārtu iegādei (saules kolektoru sistēmas, siltumsūkņi (gaiss, ūdens, zeme)), kā arī jaunu elektroenerģijas ražošanas iekārtu iegādei (saules un vēja elektrostacijas).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papildināt 2.2. sadaļas 4. tabulas 2.3. punktu (kolonnas "Sasniegtais" 2) apakšpunktu), ietverot skaidru informāciju par atbalsta programmu, norādot, ka atbalsts sniegts Emisijas kvotu izsolīšanas instrumenta ietvaros, un tās īstenotāju, jo no pašreizējās redakcijas izriet, ka tā ir bijusi Ekonomikas ministrijas īstenota atbalsta programma.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tabulas 4. rīcības virziena "Emisiju samazināšana transporta sektorā" (30.lpp.) 4.5. apakšpunkta aili "Izpildes termiņš" izteikt šādā redakcijā: "2026.-2030."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rezultāti (t.sk. termiņš) informatīvajā ziņojumā jāsniedz par MK apstiprināto plānu, tāpēc nebūtu korekti šajā ziņojumā šo skaitli mainīt. Tomēr, tā kā izpildes termiņš ir nākotnē, ņemsim šo priekšlikumu vērā, aktualizējot Rīcības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tabulas 4. rīcības virziena "Emisiju samazināšana transporta sektorā" (30.lpp.) 4.5. apakšpunkta ailes "Sasniegtais" 2.rindkopā aizstāt vārdu "vidum" ar vārdu un skaitli "I. ceturksnim".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plānots pabeigt līdz 2026.gada I. ceturksnim."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tabulas 4. rīcības virziena "Emisiju samazināšana transporta sektorā" (30.lpp.) 4.5. apakšpunkta ailē "Plānotais" aizstāt skaitli un vārdu "300 km" ar skaitli un vārdu "230 km".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"Rekonstruēto vai modernizēto dzelzceļa līniju kopējais garums – 230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rezultāti informatīvajā ziņojumā jāsniedz par sākotnējiem plānotājiem rādītājiem, kas apstiprināti ar Ministru kabineta rīkojumu, tāpēc nebūtu korekti šajā ziņojumā šo skaitli mainīt. Tomēr, tā kā izpildes termiņš norādīts no 2026./2027. līdz 2030. gadam, ņemsim šo priekšlikumu vērā, aktualizējot Rīcības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2.nodaļas 4.tabulas 4.2.punktā pievienot informāciju, ka no 2020.gada tikai paaugstināts obligātais biodegvielu piejaukuma apjoms, kas arī veicināja alternatīvo degvielu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2020.gada 1.janvāri tika palielināts obligātais biodegvielas piejaukuma apjoms beznīnam to nosakot 9,5 tilpumprocentu apjomā un dīzeļdegvielai 6,5 tilpumprocentu  apjoma (MK 2019.gada 10.decembra noteikumi Nr. 640 "Grozījumi Ministru kabineta 2000. gada 26. septembra noteikumos Nr. 332 "Noteikumi par benzīna un dīzeļdegvielas atbilstības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papildināts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ka ziņojuma 2.2.nodaļas 4.tabulas 2.1.punktā kā atbildīgā par pasākuma īstenošanu ir norādīta Ekonomikas ministrija, un energoefektivitāte ēkās un rūpniecības uzņēmumos kā kompetence tika saglabāta Ekonomikas ministrijā arī pēc Klimata un enerģētikas ministrijas izveidošanas. Līdz ar to arī par pasākuma izpildi būtu jānorāda tikai Ekonomikas ministrijas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ierosinām svītrot redakciju "2) Klimata un enerģētikas ministrija: EKII ietvaros 2020., 2021., 2022. gadā netika īstenotas atbalsta programmas, kurās tiktu atbalstīta energoefektivitātes paaugstināšanas pasākumu veikšana daudzdzīvokļu mājās, valsts ēkās un rūpniecības uzņēmumos, kā arī zemu emisiju sadedzināšanas iekārtu uzstādīšana valsts ēkās un rūpniecības uzņēmumos", jo tas pēc būtības rada priekšstatu, ka Klimata un enerģētikas ministrijai šādi pasākumi bija jāīsteno, bet tā nav uzdevumu pildījusi.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vai vērtējot gaisa kvalitātes atbilstību (informatīvā ziņojuma 1. un 2. tabula), nav jāvērtē atbilstība ne tikai Ministru kabineta 2009.gada 3.novembra noteikumiem Nr. 1290 "Noteikumi par gaisa kvalitāti", bet arī Pasaules Veselības organizācijas rekomendētajām vērtībām, kas ir stingrākas un noteiktas ņemot vērā dažādu piesārņojošo vielu emisiju radīto ietekmi uz cilvēku veselību, kā tas noteikts plānā. Nepieciešamības gadījumā lūdzam papildināt informatīvā ziņojuma 2.1.1. apakšsadaļu, nodrošinot korektu, normatīvo aktu prasībām atbilstošu gaisa kvalitātes atbilstības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un atbilstība vērtēta, salīdzinot mērījumus ar priekšlikumā Eiropas Parlamenta un Padomes direktīvai par gaisa kvalitāti un tīrāku gaisu Eiropai piedāvātajām vērtībām, kas palīdzētu precīzāk saskaņot ES gaisa kvalitātes standartus ar Pasaules Veselības organizācijas ieteikumiem, kuri pēdējo reizi tika pārskatīti 2021. gada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nebūtu lietderīgi papildināt informatīvo ziņojumu ar konkrētāku informāciju par Eiropas Komisijas ierosināto pārkāpumu procedūru pret Latviju (EK 2023. gada 26. janvāra formālais paziņojums pārkāpuma procedūras lietā Nr. INFR(2022)2076), nodrošinot pilnībā skaidru esošās situācijas izklāstu. Attiecīgi, ja iespējams, iesakām sniegt izvērstāku informāciju, atspoguļot Eiropas Komisijas konstatētās problēmas un plānus to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publiski pieejamo informāciju saistībā ar progresu pārkāpuma procedūras lietā Nr. INFR(2022)2076.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"PFS", "AgPNS", "PM</w:t>
            </w:r>
            <w:r w:rsidR="00000000" w:rsidRPr="00000000" w:rsidDel="00000000">
              <w:rPr>
                <w:vertAlign w:val="subscript"/>
                <w:rtl w:val="0"/>
              </w:rPr>
              <w:t xml:space="preserve">2,5</w:t>
            </w:r>
            <w:r w:rsidR="00000000" w:rsidRPr="00000000" w:rsidDel="00000000">
              <w:rPr>
                <w:rtl w:val="0"/>
              </w:rPr>
              <w:t xml:space="preserve">", "SEL", "LPTP", "VVD", "TM", "MK", "CSAS", "RD", "RTP TIAN"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koriģēti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noformēt atbilstoši Ministru kabineta 2009. gada 3. februāra noteikumiem Nr. 108 „Normatīvo aktu projektu sagatavošanas noteikumi” 133. punktam. Lūdzam ievērot juridiskās tehnikas prasības arī attiecībā uz to, ka, nepieciešamības gadījumā, saīsinājumu piesaka pirmajā vietā juridiskajā tekstā, kur lietots attiecīgais normatīvā akta nosaukums, tādā veidā izvairoties no vispārinātām, neprecīzām atsaucēm uz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noformētas atbilstoši Ministru kabineta 2009. gada 3. februāra noteikumiem Nr. 108 „Normatīvo aktu projektu sagatavošanas noteikumi” 133. punktam un saīsinājumi norādīti pirmajā vietā, kur lietots attiecīgais normatīvā akta nosaukums, tomēr vienlaikus norādām, ka informatīvā ziņojuma 4. tabulas sadaļas "Pasākums" un "Plānotais" nav koriģētas, jo šāds teksts ir oriģinālajā Rīcības plānā, kas apstiprināts Ministru kabinetā, un uzskatām, ka nav lietderīgi to grozīt.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2023. gada 13. septembra Regula (ES) 2023/1804 par alternatīvo degvielu infrastruktūras ieviešanu un ar ko atceļ Direktīvu 2014/94/ES (Dokuments attiecas uz EEZ) (turpmāk - Regula 2023/1804).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Eiropas Savienības Direktīvu tiesību normu pārņemšanu, iesakām skaidrojumus formulēt papildus norādot arī nacionālo tiesību aktu, kurā konkrēti, no direktīvas izrietošie pienākumi dalībvalstij tiek pārņemti. Vēršam uzmanību, ka direktīva, kā tiesību akts nav tieši piemērojams, no tām izrietošās prasības tiek nodrošinātas attiecīgo regulējumu pārņemot nacionālajos tiesību aktos. Attiecīgi, piemēram, formulējuma: "[..] 2016. gada 14. decembrī tika pieņemta jauna Direktīva 2016/2284</w:t>
            </w:r>
            <w:r w:rsidR="00000000" w:rsidRPr="00000000" w:rsidDel="00000000">
              <w:rPr>
                <w:vertAlign w:val="superscript"/>
                <w:rtl w:val="0"/>
              </w:rPr>
              <w:t xml:space="preserve">2</w:t>
            </w:r>
            <w:r w:rsidR="00000000" w:rsidRPr="00000000" w:rsidDel="00000000">
              <w:rPr>
                <w:rtl w:val="0"/>
              </w:rPr>
              <w:t xml:space="preserve">. Tā nosaka dalībvalstīm maksimāli pieļaujamos antropogēno emisiju apjomus galvenajām piesārņojošām vielām - sēra dioksīdam, slāpekļa oksīdam, nemetāna gaistošajiem organiskajiem savienojumiem (turpmāk – NMGOS), amonjakam un daļiņām PM2,5 laika periodam no 2020. līdz 2029. gadam, kā arī pēc 2030. gada." papildināšana ar atsauci uz nacionālo tiesību aktu, nodrošinātu korektāku izpratni par to, kā tiek realizētas minētajā direktīvā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noformētas atbilstoši Ministru kabineta 2009. gada 3. februāra noteikumu Nr. 108 „Normatīvo aktu projektu sagatavošanas noteikumi” 4. nodaļai un saīsinājumi norādīti pirmajā vietā, kur lietots attiecīgais normatīvā akta nosaukums, kā arī norādīti nacionālie tiesību akti, kuros tiek pārņemti no direktīvas izrietošie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Gaisa piesārņojuma samazināšanas rīcības plāna 2020.-2030. gadam izpildi 2020., 2021. un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31. lpp. sadaļā "Papildus paveiktais" nomainīt "spraudņa" hibrīdauto uz "ārēji lādējamu" hibrīdauto.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Finansiāls atbalsts fiziskām personām M1 un N1 kategorijas bateriju elektromobiļu (jaunu un lietotu) un ārēji lādējamu hibrīdauto (jaunu)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koriģēts.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23-TA-2995</w:t>
    </w:r>
    <w:r>
      <w:br/>
    </w:r>
    <w:r w:rsidR="00000000" w:rsidRPr="00000000" w:rsidDel="00000000">
      <w:rPr>
        <w:rtl w:val="0"/>
      </w:rPr>
      <w:t xml:space="preserve">06.02.2024. 11.22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23-TA-2995</w:t>
    </w:r>
    <w:r>
      <w:br/>
    </w:r>
    <w:r w:rsidR="00000000" w:rsidRPr="00000000" w:rsidDel="00000000">
      <w:rPr>
        <w:rtl w:val="0"/>
      </w:rPr>
      <w:t xml:space="preserve">06.02.2024. 11.22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Izziņa_23-TA-2995.docx</dc:title>
</cp:coreProperties>
</file>

<file path=docProps/custom.xml><?xml version="1.0" encoding="utf-8"?>
<Properties xmlns="http://schemas.openxmlformats.org/officeDocument/2006/custom-properties" xmlns:vt="http://schemas.openxmlformats.org/officeDocument/2006/docPropsVTypes"/>
</file>