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(20.03.2026.)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17.06.2026. 15:09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1.2. apakšsadaļā norādīto projekta mērķi un to precizēt. Vēršam uzmanību, ka mērķis jādefinē tādā formā, lai varētu novērtēt tā sasniegšanas progresu. Izvirzītais mērķis nedrīkst attaisnot jau iepriekš nolemtu rīcību, tam ir jābūt neitrālam un vērstam uz problēmu izraisošo cēloņu mazināšanu vai likvidēšanu, mērķis nevar būt tiesību akta izstrāde vai grozījumi tajā, tam jābūt vērstam uz pozitīvām izmaiņām, ko paredzēts panākt un jāatspoguļo, kādus konkrētus uzlabojumus vai ieguvumus projekts radīs.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anotācijas 1.2.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investīcijas plānotā finansējuma izlietojumu no 2026. gada 31. augusta līdz 2026. gada 15. novembrim dalījumā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apraksts”. Vienlaikus jāatzīmē, ka norādītā informācija ir indikatīva un var mainīties, ņemot vērā pieprasījumu pēc tehniskajiem palīglīdzekļiem.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jēgpilnāk aizpildīt anotācijas 1.3. sadaļas “Pašreizējā situācija, problēmas un risinājumi” punktus “Vai ir izvērtēti alternatīvie risinājumi?” un “Vai ir izvērtēts prasību un izmaksu samērīgums pret ieguvumiem?”, veicot alternatīvo risinājumu un izmaksu samērīguma analīzi, jo bez tām anotācija uzskatāma par nepilnīgu.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risinājumu izvērtējuma ietvaros, cita starpā, var tikt apskatīti tādi iespējamie risinājumi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nemainīt esošo regulējumu (bez papildu finansējuma un termiņa pagarinājuma); 2) pārdalīt finansējumu, bet nemainīt termiņus; 3) pagarināt termiņus, bet nepiešķirt papildu finansējumu; 4) izvēlētais risinājums (finansējuma pārdale, mērķrādītāja palielinājums, termiņa pagarinājums). Tāpat lūdzam norādīt izvēlētā risinājuma pamatojumu un prasību un izmaksu samērīguma izvērtējumu attiecībā pret plānotajiem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anotācijas 1.3. sadaļas “Pašreizējā situācija, problēmas un risinājumi” apakšsadaļas “Vai ir izvērtēti alternatīvie risinājumi?” un “Vai ir izvērtēts prasību un izmaksu samērīgums pret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 projekta ietekmi uz sabiedrību, ņemot vērā, ka anotācijas 1.3. apakšsadaļā norādīts uz to, ka grozījumi nepieciešami, "</w:t>
            </w:r>
            <w:r w:rsidR="00000000" w:rsidRPr="00000000" w:rsidDel="00000000">
              <w:rPr>
                <w:i w:val="1"/>
                <w:rtl w:val="0"/>
              </w:rPr>
              <w:t xml:space="preserve">lai nodrošinātu pieaugošajam pieprasījumam atbilstošu paaugstinātas funkcionalitātes tehnisko palīglīdzekļu pieejamību, mazinātu gaidīšanas rindu veidošanās risku un saglabātu savlaicīgu un kvalitatīvu atbalstu personām ar funkcionēšanas ierobežojumiem</w:t>
            </w:r>
            <w:r w:rsidR="00000000" w:rsidRPr="00000000" w:rsidDel="00000000">
              <w:rPr>
                <w:rtl w:val="0"/>
              </w:rPr>
              <w:t xml:space="preserve">". Attiecīgi saprotams, ka projektā plānotās finansējuma izmaiņas ietekmē arī personas, kurām nepieciešami paaugstinātas funkcionalitātes tehniskie palīglīdzekļi.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ierosināto grozījumu ietekmi uz tautsaimniecību, ņemot vērā 3.1.2.6.i investīcijas īstenošanai papildu pārdalāmo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2.2. apakšsadaļa. Skaidrojam, ka noteikumu grozījumu projektam nav būtiskas ietekmes uz tautsaimniecību. Proti, 3.1.2.6.i investīcijas īstenošanai papildu pārdalāmais finansējums tiek novirzīts, lai efektīvāk nodrošinātu tehnisko palīglīdzekļu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 sadaļas “Tiesību akta projekta ietekme uz valsts budžetu un pašvaldību budžetiem” 5. punkta 3. ailē norādītās izmaiņas, lūdzam attiecīgi aizpildīt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 sadaļas 5. punkta 5.1.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6.1. apakšpunktā norādīto noteikumu Nr. 582 datumu, to precizējot no 2023.gada 5.septembra uz 2022.gada 20.septembri, vienlaicīgi precizējot minētajā rindkopā TAP Nr. no 26-TA-1392 uz 26-TA-1393.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6.1. apakšpunktā norādītais datums un TA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ietekmi uz spēkā esošo tiesību normu sistēmu, ņemot vērā skaidroto saistību ar Grozījumu Ministru kabineta 2022. gada 20. septembra noteikumos Nr. 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(26-TA-1393).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pārdales nolūkā paralēli tie virzīti arī grozījumi Ministru kabineta 2022. gada 20. septembra noteikumos Nr. 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(26-TA-1393), lūdzam papildināt anotācijas 4. sadaļu ar informāciju, ka šis noteikumu projekts (26-TA-1364) virzāms izskatīšanai Ministru kabinetā </w:t>
            </w:r>
            <w:r w:rsidR="00000000" w:rsidRPr="00000000" w:rsidDel="00000000">
              <w:rPr>
                <w:u w:val="single"/>
                <w:rtl w:val="0"/>
              </w:rPr>
              <w:t xml:space="preserve">pēc vai vienlaicīgi ar</w:t>
            </w:r>
            <w:r w:rsidR="00000000" w:rsidRPr="00000000" w:rsidDel="00000000">
              <w:rPr>
                <w:rtl w:val="0"/>
              </w:rPr>
              <w:t xml:space="preserve"> minēto tiesību aktu 26-TA-1393.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 sadaļu, ņemot vērā, ka norādīts uz sabiedrības līdzdalības procesa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 ir precizēta, norādot, ka sabiedrības līdzdalība netiek organizēta.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3.1.2.6.i. investīcijas "Tehnisko palīglīdzekļu pieejamības sekmēšana" īstenošanai nepieciešamā pievienotās vērtības nodokļa ne vairāk kā 1 038 429 </w:t>
            </w:r>
            <w:r w:rsidR="00000000" w:rsidRPr="00000000" w:rsidDel="00000000">
              <w:rPr>
                <w:i w:val="1"/>
                <w:rtl w:val="0"/>
              </w:rPr>
              <w:t xml:space="preserve">euro</w:t>
            </w:r>
            <w:r w:rsidR="00000000" w:rsidRPr="00000000" w:rsidDel="00000000">
              <w:rPr>
                <w:rtl w:val="0"/>
              </w:rPr>
              <w:t xml:space="preserve"> apmērā segšanu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Ministru kabineta sēdes protokollēmuma projekta 3. punkta nepieciešamību, ņemot vērā, ka jau projekta 3. punkts, noteic, ka "</w:t>
            </w:r>
            <w:r w:rsidR="00000000" w:rsidRPr="00000000" w:rsidDel="00000000">
              <w:rPr>
                <w:i w:val="1"/>
                <w:rtl w:val="0"/>
              </w:rPr>
              <w:t xml:space="preserve">Investīcijas īstenošanai pieejamais valsts budžeta finansējums pievienotās vērtības nodokļa segšanai ir ne vairāk kā 1 038 429 euro</w:t>
            </w:r>
            <w:r w:rsidR="00000000" w:rsidRPr="00000000" w:rsidDel="00000000">
              <w:rPr>
                <w:rtl w:val="0"/>
              </w:rPr>
              <w:t xml:space="preserve">" un ir lieki to dublēt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izvērtēja Tieslietu ministrijas priekšlikumu un saglabā Ministru kabineta protokollēmuma 3. punktu, jo šāda prakse atbilstoši Finanšu ministrijas norādēm ir arī citās labklājības nozares investīcijās, piemēram, 3.1.2.1.i. investīcijas "Publisko pakalpojumu un nodarbinātības pieejamības veicināšanas pasākumi cilvēkiem ar funkcionāliem traucējumiem" abām kārtām (kā vienu no piemēriem lūdzam skatīt šeit: https://tapportals.mk.gov.lv/structuralizer/data/nodes/0b40170b-885b-47c6-895f-a4bdeefde293/preview).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3.1.2.6.i. investīcijas "Tehnisko palīglīdzekļu pieejamības sekmēšana" īstenošanai nepieciešamā pievienotās vērtības nodokļa ne vairāk kā 1 038 429 </w:t>
            </w:r>
            <w:r w:rsidR="00000000" w:rsidRPr="00000000" w:rsidDel="00000000">
              <w:rPr>
                <w:i w:val="1"/>
                <w:rtl w:val="0"/>
              </w:rPr>
              <w:t xml:space="preserve">euro</w:t>
            </w:r>
            <w:r w:rsidR="00000000" w:rsidRPr="00000000" w:rsidDel="00000000">
              <w:rPr>
                <w:rtl w:val="0"/>
              </w:rPr>
              <w:t xml:space="preserve"> apmērā segšanu no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Labklājības ministrijai informēt Ministru kabinetu par tālākām rīcībām gadījumā, ja Eiropas Komisija neatbalsta Atveseļošanas un noturības mehānisma plāna ceturtajā papildinājumā ietvertos grozījumus 3.1.2.6.i. investīcijas "Tehnisko palīglīdzekļu pieejamības sekmēšana" mērķrādītāja vērtībā un sasniegšanas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sēdes protokollēmuma projekta 5. punktu kontekstā ar anotācijā skaidroto: "</w:t>
            </w:r>
            <w:r w:rsidR="00000000" w:rsidRPr="00000000" w:rsidDel="00000000">
              <w:rPr>
                <w:i w:val="1"/>
                <w:rtl w:val="0"/>
              </w:rPr>
              <w:t xml:space="preserve">AF plāna ceturto papildinājumu (izskatīti 2026. gada 26. maija Ministru kabineta sēdē) Finanšu ministrija š.g. 27. maijā ir iesniegusi Eiropas Komisijā. Eiropas Komisijai nav iebildumu par šādiem Labklājības ministrijas virzītajiem grozījumiem</w:t>
            </w:r>
            <w:r w:rsidR="00000000" w:rsidRPr="00000000" w:rsidDel="00000000">
              <w:rPr>
                <w:rtl w:val="0"/>
              </w:rPr>
              <w:t xml:space="preserve">". Proti, skaidrots, ka ar Eiropas Komisiju viss ir saskaņots, bet no 5. punkta saprotams, ka Eiropas Komisija tomēr var neatbalstīt grozījumus. Lūdzam veikt nepieciešamos precizējumus un izvērtēt nepieciešamību projektu virzīt apstiprināšanai uz Ministru kabinetu pēc tā saskaņošanas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izvērtēja Tieslietu ministrijas priekšlikumu un precizē anotācijā minēto attiecībā uz Eiropas Komisijas viedokli. Proti, papildināts, ka iebildumi nav saņemti līdzšinējā saziņā, kas pamatā notikusi neformāli. Pamatojoties uz  līdzšinējo praksi, Ministru kabineta protokollēmumā ir iekļaujams uzdevums nozares ministrijai informēt Ministru kabinetu par rīcībām gadījumā, ja Eiropas Komisija neatbalsta Atveseļošanas un noturības mehānisma plāna ceturtajā papildinājumā ietvertos grozījumus. Lai arī neformāli nav saņemtas indikācijas, ka Eiropas Komisija neapstiprinās  Atveseļošanas un noturības mehānisma plāna ceturtajā papildinājumā ietvertos grozījumus attiecībā uz 3.1.2.6.i. investīcijai, ir jābūt noteiktai rīcībai arī zemu risku iestāšanās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Labklājības ministrijai informēt Ministru kabinetu par tālākām rīcībām gadījumā, ja Eiropas Komisija neatbalsta Atveseļošanas un noturības mehānisma plāna ceturtajā papildinājumā ietvertos grozījumus 3.1.2.6.i. investīcijas "Tehnisko palīglīdzekļu pieejamības sekmēšana" mērķrādītāja vērtībā un sasniegšanas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34.15.</w:t>
            </w:r>
            <w:r w:rsidR="00000000" w:rsidRPr="00000000" w:rsidDel="00000000">
              <w:rPr>
                <w:vertAlign w:val="superscript"/>
                <w:rtl w:val="0"/>
              </w:rPr>
              <w:t xml:space="preserve">1</w:t>
            </w:r>
            <w:r w:rsidR="00000000" w:rsidRPr="00000000" w:rsidDel="00000000">
              <w:rPr>
                <w:rtl w:val="0"/>
              </w:rPr>
              <w:t xml:space="preserve">  ja investīcijas projektu īsteno līdz 2026. gada 15. novembrim (ieskaitot), noslēguma progresa pārskata iesniegšanai datus uzkrāj un ievada vadības informācijas sistēmā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 līgumā noteiktajā termiņā, bet ne vēlāk kā līdz 2026. gada 15. novembrim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regulējuma interpretāciju, lūdzam izvērtēt iespēju salāgot Ministru kabineta 2025. gada 4. februāra noteikumu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plānotajā 34.15.</w:t>
            </w:r>
            <w:r w:rsidR="00000000" w:rsidRPr="00000000" w:rsidDel="00000000">
              <w:rPr>
                <w:vertAlign w:val="superscript"/>
                <w:rtl w:val="0"/>
              </w:rPr>
              <w:t xml:space="preserve">1</w:t>
            </w:r>
            <w:r w:rsidR="00000000" w:rsidRPr="00000000" w:rsidDel="00000000">
              <w:rPr>
                <w:rtl w:val="0"/>
              </w:rPr>
              <w:t xml:space="preserve"> apakšpunktā minēto projekta īstenošanas termiņu ar plānotajā 23.2.1.</w:t>
            </w:r>
            <w:r w:rsidR="00000000" w:rsidRPr="00000000" w:rsidDel="00000000">
              <w:rPr>
                <w:vertAlign w:val="superscript"/>
                <w:rtl w:val="0"/>
              </w:rPr>
              <w:t xml:space="preserve">1</w:t>
            </w:r>
            <w:r w:rsidR="00000000" w:rsidRPr="00000000" w:rsidDel="00000000">
              <w:rPr>
                <w:rtl w:val="0"/>
              </w:rPr>
              <w:t xml:space="preserve"> un 23.3.1.</w:t>
            </w:r>
            <w:r w:rsidR="00000000" w:rsidRPr="00000000" w:rsidDel="00000000">
              <w:rPr>
                <w:vertAlign w:val="superscript"/>
                <w:rtl w:val="0"/>
              </w:rPr>
              <w:t xml:space="preserve">1</w:t>
            </w:r>
            <w:r w:rsidR="00000000" w:rsidRPr="00000000" w:rsidDel="00000000">
              <w:rPr>
                <w:rtl w:val="0"/>
              </w:rPr>
              <w:t xml:space="preserve"> apakšpunktā minēto termiņu, proti, lūdzam izvērtēt iespēju aizstāt 34.15.</w:t>
            </w:r>
            <w:r w:rsidR="00000000" w:rsidRPr="00000000" w:rsidDel="00000000">
              <w:rPr>
                <w:vertAlign w:val="superscript"/>
                <w:rtl w:val="0"/>
              </w:rPr>
              <w:t xml:space="preserve">1</w:t>
            </w:r>
            <w:r w:rsidR="00000000" w:rsidRPr="00000000" w:rsidDel="00000000">
              <w:rPr>
                <w:rtl w:val="0"/>
              </w:rPr>
              <w:t xml:space="preserve"> apakšpunktā vārdus un skaitļus "ja investīcijas projektu īsteno līdz 2026. gada 15. novembrim (ieskaitot)" ar vārdiem un skaitļiem "ja investīcijas projektu īsteno pēc 2026. gada 31. augusta".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u w:val="single"/>
                <w:rtl w:val="0"/>
              </w:rPr>
              <w:t xml:space="preserve">ja investīcijas projektu īsteno pēc 2026. gada 31. augusta</w:t>
            </w:r>
            <w:r w:rsidR="00000000" w:rsidRPr="00000000" w:rsidDel="00000000">
              <w:rPr>
                <w:rtl w:val="0"/>
              </w:rPr>
              <w:t xml:space="preserve">, noslēguma progresa pārskata iesniegšanai datus uzkrāj un ievada vadības informācijas sistēmā šo noteikumu 21. punktā minētajā līgumā noteiktajā termiņā, bet ne vēlāk kā līdz 2026. gada 15. novembrim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34.15.</w:t>
            </w:r>
            <w:r w:rsidR="00000000" w:rsidRPr="00000000" w:rsidDel="00000000">
              <w:rPr>
                <w:vertAlign w:val="superscript"/>
                <w:rtl w:val="0"/>
              </w:rPr>
              <w:t xml:space="preserve">1</w:t>
            </w:r>
            <w:r w:rsidR="00000000" w:rsidRPr="00000000" w:rsidDel="00000000">
              <w:rPr>
                <w:rtl w:val="0"/>
              </w:rPr>
              <w:t xml:space="preserve">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34.15.</w:t>
            </w:r>
            <w:r w:rsidR="00000000" w:rsidRPr="00000000" w:rsidDel="00000000">
              <w:rPr>
                <w:vertAlign w:val="superscript"/>
                <w:rtl w:val="0"/>
              </w:rPr>
              <w:t xml:space="preserve">1</w:t>
            </w:r>
            <w:r w:rsidR="00000000" w:rsidRPr="00000000" w:rsidDel="00000000">
              <w:rPr>
                <w:rtl w:val="0"/>
              </w:rPr>
              <w:t xml:space="preserve"> ja investīcijas projektu īsteno pēc 2026. gada 31. augusta, noslēguma progresa pārskata iesniegšanai datus uzkrāj un ievada vadības informācijas sistēmā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 līgumā noteiktajā termiņā, bet ne vēlāk kā līdz 2026. gada 15. novembrim (ieskaitot);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26-TA-1364</w:t>
    </w:r>
    <w:r>
      <w:br/>
    </w:r>
    <w:r w:rsidR="00000000" w:rsidRPr="00000000" w:rsidDel="00000000">
      <w:rPr>
        <w:rtl w:val="0"/>
      </w:rPr>
      <w:t xml:space="preserve">30.06.2026. 08.45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26-TA-1364</w:t>
    </w:r>
    <w:r>
      <w:br/>
    </w:r>
    <w:r w:rsidR="00000000" w:rsidRPr="00000000" w:rsidDel="00000000">
      <w:rPr>
        <w:rtl w:val="0"/>
      </w:rPr>
      <w:t xml:space="preserve">30.06.2026. 08.45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Izziņa_26-TA-1364.docx</dc:title>
</cp:coreProperties>
</file>

<file path=docProps/custom.xml><?xml version="1.0" encoding="utf-8"?>
<Properties xmlns="http://schemas.openxmlformats.org/officeDocument/2006/custom-properties" xmlns:vt="http://schemas.openxmlformats.org/officeDocument/2006/docPropsVTypes"/>
</file>