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ABE7E1" w14:textId="6CC5C985" w:rsidR="00EF6971" w:rsidRPr="00AF7DC5" w:rsidRDefault="00AA7FC3" w:rsidP="61D88434">
      <w:pPr>
        <w:spacing w:after="240"/>
        <w:jc w:val="center"/>
        <w:rPr>
          <w:b/>
          <w:bCs/>
        </w:rPr>
      </w:pPr>
      <w:r w:rsidRPr="00AF7DC5">
        <w:rPr>
          <w:b/>
          <w:bCs/>
        </w:rPr>
        <w:t>Sabiedrības iebildumi un priekšlikumi</w:t>
      </w:r>
    </w:p>
    <w:tbl>
      <w:tblPr>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505"/>
        <w:gridCol w:w="5806"/>
        <w:gridCol w:w="1350"/>
        <w:gridCol w:w="4156"/>
      </w:tblGrid>
      <w:tr w:rsidR="00EF6971" w:rsidRPr="00AF7DC5" w14:paraId="384F7198" w14:textId="77777777" w:rsidTr="00800E8E">
        <w:tc>
          <w:tcPr>
            <w:tcW w:w="750" w:type="dxa"/>
            <w:shd w:val="clear" w:color="auto" w:fill="FFFFFF" w:themeFill="background1"/>
            <w:noWrap/>
            <w:tcMar>
              <w:top w:w="75" w:type="dxa"/>
              <w:left w:w="75" w:type="dxa"/>
              <w:bottom w:w="75" w:type="dxa"/>
              <w:right w:w="75" w:type="dxa"/>
            </w:tcMar>
            <w:vAlign w:val="center"/>
          </w:tcPr>
          <w:p w14:paraId="1EEB741D" w14:textId="77777777" w:rsidR="00EF6971" w:rsidRPr="00AF7DC5" w:rsidRDefault="00AA7FC3">
            <w:pPr>
              <w:jc w:val="center"/>
            </w:pPr>
            <w:r w:rsidRPr="00AF7DC5">
              <w:rPr>
                <w:b/>
              </w:rPr>
              <w:t>Nr.p.k.</w:t>
            </w:r>
          </w:p>
        </w:tc>
        <w:tc>
          <w:tcPr>
            <w:tcW w:w="2505" w:type="dxa"/>
            <w:shd w:val="clear" w:color="auto" w:fill="FFFFFF" w:themeFill="background1"/>
            <w:noWrap/>
            <w:tcMar>
              <w:top w:w="75" w:type="dxa"/>
              <w:left w:w="75" w:type="dxa"/>
              <w:bottom w:w="75" w:type="dxa"/>
              <w:right w:w="75" w:type="dxa"/>
            </w:tcMar>
            <w:vAlign w:val="center"/>
          </w:tcPr>
          <w:p w14:paraId="49D23A0D" w14:textId="77777777" w:rsidR="00EF6971" w:rsidRPr="00AF7DC5" w:rsidRDefault="00AA7FC3">
            <w:pPr>
              <w:jc w:val="center"/>
            </w:pPr>
            <w:r w:rsidRPr="00AF7DC5">
              <w:rPr>
                <w:b/>
              </w:rPr>
              <w:t>Iebilduma / priekšlikuma iesniedzējs</w:t>
            </w:r>
          </w:p>
        </w:tc>
        <w:tc>
          <w:tcPr>
            <w:tcW w:w="5806" w:type="dxa"/>
            <w:shd w:val="clear" w:color="auto" w:fill="FFFFFF" w:themeFill="background1"/>
            <w:noWrap/>
            <w:tcMar>
              <w:top w:w="75" w:type="dxa"/>
              <w:left w:w="75" w:type="dxa"/>
              <w:bottom w:w="75" w:type="dxa"/>
              <w:right w:w="75" w:type="dxa"/>
            </w:tcMar>
            <w:vAlign w:val="center"/>
          </w:tcPr>
          <w:p w14:paraId="2109E36F" w14:textId="77777777" w:rsidR="00EF6971" w:rsidRPr="00AF7DC5" w:rsidRDefault="00AA7FC3" w:rsidP="00497907">
            <w:pPr>
              <w:jc w:val="center"/>
            </w:pPr>
            <w:r w:rsidRPr="00AF7DC5">
              <w:rPr>
                <w:b/>
              </w:rPr>
              <w:t>Iesniegtā iebilduma / priekšlikuma būtība</w:t>
            </w:r>
          </w:p>
        </w:tc>
        <w:tc>
          <w:tcPr>
            <w:tcW w:w="1350" w:type="dxa"/>
            <w:shd w:val="clear" w:color="auto" w:fill="FFFFFF" w:themeFill="background1"/>
            <w:noWrap/>
            <w:tcMar>
              <w:top w:w="75" w:type="dxa"/>
              <w:left w:w="75" w:type="dxa"/>
              <w:bottom w:w="75" w:type="dxa"/>
              <w:right w:w="75" w:type="dxa"/>
            </w:tcMar>
          </w:tcPr>
          <w:p w14:paraId="1366E395" w14:textId="77777777" w:rsidR="00EF6971" w:rsidRPr="00AF7DC5" w:rsidRDefault="00AA7FC3" w:rsidP="00497907">
            <w:pPr>
              <w:jc w:val="center"/>
            </w:pPr>
            <w:r w:rsidRPr="00AF7DC5">
              <w:rPr>
                <w:b/>
              </w:rPr>
              <w:t>Ņemts vērā / nav ņemts vērā</w:t>
            </w:r>
          </w:p>
        </w:tc>
        <w:tc>
          <w:tcPr>
            <w:tcW w:w="4156" w:type="dxa"/>
            <w:shd w:val="clear" w:color="auto" w:fill="FFFFFF" w:themeFill="background1"/>
            <w:noWrap/>
            <w:tcMar>
              <w:top w:w="75" w:type="dxa"/>
              <w:left w:w="75" w:type="dxa"/>
              <w:bottom w:w="75" w:type="dxa"/>
              <w:right w:w="75" w:type="dxa"/>
            </w:tcMar>
            <w:vAlign w:val="center"/>
          </w:tcPr>
          <w:p w14:paraId="6D357ED4" w14:textId="77777777" w:rsidR="00EF6971" w:rsidRPr="00AF7DC5" w:rsidRDefault="00AA7FC3" w:rsidP="00497907">
            <w:pPr>
              <w:jc w:val="center"/>
            </w:pPr>
            <w:r w:rsidRPr="00AF7DC5">
              <w:rPr>
                <w:b/>
              </w:rPr>
              <w:t>Pamatojums, ja iebildums / priekšlikums nav ņemts vērā</w:t>
            </w:r>
          </w:p>
        </w:tc>
      </w:tr>
      <w:tr w:rsidR="00EF6971" w:rsidRPr="00AF7DC5" w14:paraId="09C3F890" w14:textId="77777777" w:rsidTr="00800E8E">
        <w:tc>
          <w:tcPr>
            <w:tcW w:w="750" w:type="dxa"/>
            <w:shd w:val="clear" w:color="auto" w:fill="FFFFFF" w:themeFill="background1"/>
            <w:noWrap/>
            <w:tcMar>
              <w:top w:w="75" w:type="dxa"/>
              <w:left w:w="75" w:type="dxa"/>
              <w:bottom w:w="75" w:type="dxa"/>
              <w:right w:w="75" w:type="dxa"/>
            </w:tcMar>
            <w:vAlign w:val="center"/>
          </w:tcPr>
          <w:p w14:paraId="5AC5A152" w14:textId="77777777" w:rsidR="00EF6971" w:rsidRPr="00AF7DC5" w:rsidRDefault="00AA7FC3">
            <w:pPr>
              <w:jc w:val="center"/>
            </w:pPr>
            <w:r w:rsidRPr="00AF7DC5">
              <w:t>1.</w:t>
            </w:r>
          </w:p>
        </w:tc>
        <w:tc>
          <w:tcPr>
            <w:tcW w:w="2505" w:type="dxa"/>
            <w:shd w:val="clear" w:color="auto" w:fill="FFFFFF" w:themeFill="background1"/>
            <w:noWrap/>
            <w:tcMar>
              <w:top w:w="75" w:type="dxa"/>
              <w:left w:w="75" w:type="dxa"/>
              <w:bottom w:w="75" w:type="dxa"/>
              <w:right w:w="75" w:type="dxa"/>
            </w:tcMar>
            <w:vAlign w:val="center"/>
          </w:tcPr>
          <w:p w14:paraId="6ACA9D1B" w14:textId="77777777" w:rsidR="00EF6971" w:rsidRPr="00AF7DC5" w:rsidRDefault="00AA7FC3">
            <w:pPr>
              <w:jc w:val="left"/>
            </w:pPr>
            <w:r w:rsidRPr="00AF7DC5">
              <w:t>Latvijas Kūdras asociācija</w:t>
            </w:r>
          </w:p>
        </w:tc>
        <w:tc>
          <w:tcPr>
            <w:tcW w:w="5806" w:type="dxa"/>
            <w:shd w:val="clear" w:color="auto" w:fill="FFFFFF" w:themeFill="background1"/>
            <w:noWrap/>
            <w:tcMar>
              <w:top w:w="75" w:type="dxa"/>
              <w:left w:w="75" w:type="dxa"/>
              <w:bottom w:w="75" w:type="dxa"/>
              <w:right w:w="75" w:type="dxa"/>
            </w:tcMar>
            <w:vAlign w:val="center"/>
          </w:tcPr>
          <w:p w14:paraId="79F9F83C" w14:textId="07FBB5C1" w:rsidR="00EF6971" w:rsidRPr="00AF7DC5" w:rsidRDefault="00AA7FC3" w:rsidP="00497907">
            <w:pPr>
              <w:rPr>
                <w:color w:val="auto"/>
              </w:rPr>
            </w:pPr>
            <w:r w:rsidRPr="00AF7DC5">
              <w:t> Latvijas Kūdras asociācija atbalsta likumprojekta tālāku virzību, vienlaikus izsakot šādus iebildumus:</w:t>
            </w:r>
            <w:r w:rsidRPr="00AF7DC5">
              <w:br/>
              <w:t>1.Ar likumprojektu joprojām netiek risināts jautājums par VSIA “Latvijas Vides ģeoloģijas un meteoroloģijas centrs” krājumu akceptēšanas komisijas lēmumu apstrīdēšanu. Būtībā krājumu komisijas lēmums ir administratīvais akts, jo tā rezultātā var vai nevar izsniegt licenci derīgo izrakteņu ieguvei. Līdz ar to šim lēmumam jābūt apstrīdamam. Visbiežāk lēmuma apstrīdēšanai būtu jābūt speciālistu ģeologu diskusijai, nevis formālai procedūras izvērtēšanai. Ierosinām celt ministrijas padotības iestāžu veiktspēju, lai Valsts vides dienests (vai kāda cita iestāde) varētu būt pārsūdzības institūcija, un iekļaut likumprojektā attiecīgu papildinājumu, nosakot apstrīdēšanas institūciju.</w:t>
            </w:r>
            <w:r w:rsidRPr="00AF7DC5">
              <w:br/>
              <w:t>          2.Ar likumprojekta 8. pantu groza likuma “Par zemes dzīlēm” (turpmāk – Likums) 10. pantu, izsakot vienpadsmito daļu jaunā redakcijā.</w:t>
            </w:r>
            <w:r w:rsidRPr="00AF7DC5">
              <w:br/>
            </w:r>
            <w:r w:rsidRPr="00AF7DC5">
              <w:lastRenderedPageBreak/>
              <w:t>          2.1.Formulējumā “paredzētajā licences derīgo izrakteņu ieguvei laukumā” vārds “paredzētajā” rada neskaidrības. Kurā no zemes dzīļu apguves procesa etapiem licences laukums ir “paredzēts”? Ja ar šo saprot potenciālo licences derīgo izrakteņu ieguvei laukumu, kas plānots pirms ietekmes uz vidi novērtējuma un vēlāk var mainīties (piemēram, samazināties), tad asociācijai nav iebildumu, bet šāds formulējums nenodrošina mērķa “noteikt derīgā izrakteņa krājumus licences laukumā” sasniegšanu. Lūdzam šo formulējumu precizēt, lai likumu piemērojot, tas neradītu pārpratumus. Anotācijā attiecībā uz šo izmantots vārds “plānotajā”.</w:t>
            </w:r>
            <w:r w:rsidRPr="00AF7DC5">
              <w:br/>
              <w:t xml:space="preserve">          2.2.Attiecībā uz nosacījumu, ka “Derīgos izrakteņus, izņemot ogļūdeņražus un pazemes ūdeņus, iegūst, ja ir akceptēti derīgo izrakteņu krājumi paredzētajā licences derīgo izrakteņu ieguvei laukumā” lūdzam likumprojektu papildināt ar pārejas noteikumu, kas nosaka, ka šī norma attieksies uz licencēm, kas izsniegtas pēc 2023. gada 1. jūlija. Prasība veikt derīgo izrakteņu krājumu akceptēšanu licences laukumā spēkā esošām licencēm, gadījumā, ja krājumu akceptēšanas laukums atšķiras no licences laukuma, ir pretrunā ar likuma grozījumu mērķi - vienkāršot administratīvās procedūras zemes dzīļu izmantošanas jomā. Tā ir arī pretrunā ar tiesiskās </w:t>
            </w:r>
            <w:r w:rsidRPr="00AF7DC5">
              <w:lastRenderedPageBreak/>
              <w:t>paļāvības principu. Komersants ir izpildījis normatīvajos aktos noteiktās prasības un saņēmis licenci. Likumprojektā 8. pantā minēto prasību var attiecināt tikai uz jaunām licencēm, tādēļ nepieciešams pārejas noteikums.</w:t>
            </w:r>
            <w:r w:rsidRPr="00AF7DC5">
              <w:br/>
              <w:t xml:space="preserve">          2.3. No Likuma 10. panta vienpadsmitās daļas, kas izteikta jaunā redakcijā, vārdi “Ministru kabineta noteiktajam saturam atbilstoši” ir lieki un jāizslēdz. Vai ar šo tiek dots deleģējums jauniem Ministru kabineta noteikumiem, kas noteiks ieguves projekta saturu? Pašlaik spēkā esošie Ministru kabineta 2012.gada 21.augusta noteikumi Nr.570 “Derīgo izrakteņu ieguves kārtība” (turpmāk – noteikumi Nr. 570), kas izdoti uz Likumā jau esošā deleģējuma pamata, jau nosaka projekta saturu (37. - 44.punkts). Noteikumi Nr. 570 attiecas uz visiem derīgo izrakteņu ieguvei nepieciešamajiem darbu etapiem: ģeoloģisko izpēti, pārskata saskaņošanu, projekta izstrādi un saskaņošanu, ieguves vietas sagatavošanu, iegūto derīgo izrakteņu uzskaiti, rekultivāciju. Visas šīs darbības jāveic atbilstoši noteikumiem Nr. 570, bet tām nav īpaša deleģējumu un tās nav atsevišķi uzsvērtas Likumā ar norādi uz Ministra kabineta izstrādātu kārtību. Ja nepieciešams, noteikumus Nr. 570 var papildināt un grozīt vai izdot jaunā redakcijā, bet nav pamata Likumā izcelt vienu no ar ieguvi saistīto darbu etapiem, tas tikai radīs </w:t>
            </w:r>
            <w:r w:rsidRPr="00AF7DC5">
              <w:lastRenderedPageBreak/>
              <w:t>pārpratumus. Uzraugošo iestāžu iespējamās ir bažas, ka tām iesniegs noteikumiem Nr. 570 neatbilstošus projektus, nav pietiekams pamats papildināt 10. panta vienpadsmito daļu.</w:t>
            </w:r>
            <w:r w:rsidRPr="00AF7DC5">
              <w:br/>
              <w:t>          3. Likumprojekta 13. pants paredz izdarīt grozījumus 14. pantā un izteikt 8. punktu jaunā redakcijā. Asociācija iebilst pret Likuma 14. panta un 8. punkta jauno redakciju un, ņemot vērā, ka Likumā ir iekļauta rekultivācijas definīcija, ierosina 8.punktu izteikt šādā redakcijā:</w:t>
            </w:r>
            <w:r w:rsidRPr="00AF7DC5">
              <w:br/>
              <w:t>“8) uz sava rēķina rekultivēt derīgo izrakteņu ieguves vietu un ar ieguvi saistītās platības licences laukumā un zemes gabala platības, kas izmainītas veicot zemes dzīļu izmantošanu ārpus licences laukuma, ja tas paredzēts derīgo izrakteņu projektā.”</w:t>
            </w:r>
            <w:r w:rsidRPr="00AF7DC5">
              <w:br/>
              <w:t>          Zemes dzīļu izmantošana gandrīz vienmēr notiek licences laukumā, derīgo izrakteņu ieguve var notikt tikai un vienīgi licences laukumā. Kūdras ieguves gadījumā dažkārt ar ieguvi saistītām darbībām izmanto teritoriju ārpus licences laukuma (piemēram, celmu, izraktās grunts glabāšana). Tādā gadījumā tas ir norādīts derīgo izrakteņu ieguves projektā. Zemes dzīļu izmantotāja pienākums ir rekultivēt šīs platības, bet viņam nevar uzlikt pienākumu rekultivēt jebko, kas kāda ieskatā varētu būt saistīts ar ieguvi, kā to pieļauj pašlaik likumprojektā iekļautā redakcija.</w:t>
            </w:r>
            <w:r w:rsidRPr="00AF7DC5">
              <w:br/>
            </w:r>
            <w:r w:rsidRPr="00AF7DC5">
              <w:lastRenderedPageBreak/>
              <w:t>          4. Likumprojekta 14. pants paredz izteikt jaunā redakcijā Likuma 16. panta piekto daļu. Lūdzam pilnveidot jauno piektās daļas redakciju. Izslēdzot vārdu “objekts”. Kā noprotams, šeit ar to domāts atļaujas vai licences laukums, vai ieguves vieta. Vārdu “objekts var aizstāt ar “zemes gabals” attiecīgā locījumā. Ierosinām šādu Likuma 16. panta piektās daļas redakciju: “Ja pašvaldība konstatē pārkāpumus zemes dzīļu izmantošanā vai saņem informāciju par šādiem pārkāpumiem, tā informē Valsts vides dienestu. Ja pārkāpums konstatēts bieži satopamo sastopamo derīgo izrakteņu ieguves atļaujas laukumā, pašvaldība ir tiesīga ierobežot vai apturēt atļaujas darbību vai to atcelt.”</w:t>
            </w:r>
            <w:r w:rsidRPr="00AF7DC5">
              <w:br/>
              <w:t xml:space="preserve">          5. Lūdzam kritiski izvērtēt un izslēgt anotācijā (1.3. punkts) minēto attiecībā uz grozījumiem Likuma 14. panta un 8. punktā. Anotācijā norādīts: “bojājumi var rasties ieguves procesā ārpus konkrētā derīgo izrakteņu ieguves licences laukuma (piemēram, bojājot piebraucamo ceļu, aizsargjoslu, vai no ieguves iekārtām noplūstot degvielai, kas rada piesārņojumu u.c.), …”. Atbildību par autoceļu bojāšanu nosaka Autoceļu likums (30. pants) un Ceļu satiksmes likums (82. pants). Arī pašvaldības var izstrādāt savus saistošos noteikumus. Kas domāts ar aizsargjoslas bojāšanu, nav saprotams, bet </w:t>
            </w:r>
            <w:r w:rsidRPr="00AF7DC5">
              <w:lastRenderedPageBreak/>
              <w:t>atbildību par pārkāpumiem un atbildīgās institūcijas nosaka Aizsargjoslu likums. Jautājumus, kas attiecas uz piesārņojumu regulē attiecīgie normatīvie akti, t.sk. Ministru kabineta noteikumi Nr.281, 24.04.2007., “Noteikumi par preventīvajiem un sanācijas pasākumiem un kārtību, kādā novērtējams kaitējums videi un aprēķināmas preventīvo, neatliekamo un sanācijas pasākumu izmaksas”. Ņemot vērā minēto, nevajadzētu noslogot Likumu ar šo jautājumu risināšanu, turklāt jaunā redakcija neatspoguļo anotācijā minēto.</w:t>
            </w:r>
            <w:r w:rsidRPr="00AF7DC5">
              <w:br/>
              <w:t xml:space="preserve">          Tāpat kritiski izvērtējams un izslēdzams vai būtiski labojams ir anotācijā iekļautais teksts: “Likumprojektā iekļautā redakcija ietver pienākumu, piemēram, atjaunot bojājumus inženierbūvēm, kas ir licences laukumā un izslēgti no ieguves limita aizsargjoslu apjomā, vai ārpus licences laukuma, kas var robežoties ar laukuma robežu; pienākumu atjaunot ūdens ieguves būvju bojājumus, ja ir pierādīts, ka zemes dzīļu izmantošanas rezultātā ūdens ieguve ir pārtraukta vai būtiski mazināta (akas, urbumi ); pienākumu rekultivēt tās platības, kuras ir skartas zemes dzīļu izmantošanas rezultātā, kā licences laukumā tā ārpus tā, ja kaimiņu platībās ir konstatēta ieguve vai tās rezultātā izsaukta erozija; pienākumu rekultivēt tās platības, kur nav veikta zemes dzīļu </w:t>
            </w:r>
            <w:r w:rsidRPr="00AF7DC5">
              <w:lastRenderedPageBreak/>
              <w:t>ieguve, bet ir notikuši sagatavošanās darbi (noņemta augsne, zemsedze, bojāts reljefs un virszemes ūdens notece).”</w:t>
            </w:r>
            <w:r w:rsidRPr="00AF7DC5">
              <w:br/>
              <w:t>          Vārdi “izslēgti no ieguves limita aizsargjoslu apjomā” ir lieki, jo no limita noteikšanas atsakās un pienākumam veikt rekultivāciju vispār nav sakara ar limitu.</w:t>
            </w:r>
            <w:r w:rsidRPr="00AF7DC5">
              <w:br/>
              <w:t>          Ja ūdens ieguves būvē (saskaņā ar Likumu – ūdens ieguves urbums vai grodu aka) vairs nepietek ūdens, tas nav uzskatāms par  “ieguves būvju bojājumu”. Jautājumu par derīgo izrakteņu ieguves ietekmi uz pazemes ūdens resursiem var risināt ar pazemes ūdens monitoringu, kam arī jāsaņem licence. Šajā gadījumā var veikt kompensējošo pasākumus saskaņā ar ieguves licences nosacījumiem (piemēram ierīkot jaunu ūdens ieguves urbumu, ja tiešām pierādīts, ka ūdens pietrūkst ieguves dēļ), bet tā nebūs “ūdens ieguves būvju bojājumu” atjaunošana.</w:t>
            </w:r>
            <w:r w:rsidRPr="00AF7DC5">
              <w:br/>
            </w:r>
            <w:r w:rsidRPr="00AF7DC5">
              <w:rPr>
                <w:color w:val="FF0000"/>
              </w:rPr>
              <w:t xml:space="preserve">          </w:t>
            </w:r>
            <w:r w:rsidRPr="00AF7DC5">
              <w:rPr>
                <w:color w:val="auto"/>
              </w:rPr>
              <w:t>Anotācijas sadaļa 4.1.5. par MK noteikumiem Nr. 570 “Derīgo izrakteņu ieguves kārtība” jāpapildina ar informāciju, ka Ministru kabineta noteikumos jānosaka krājumu akceptēšanas pamatprincipi – ka komisijas sēdes ir atklātas, ka abām pusēm ir tiesības uzaicināt ekspertus un, iespējams, citus nosacījumus. </w:t>
            </w:r>
          </w:p>
        </w:tc>
        <w:tc>
          <w:tcPr>
            <w:tcW w:w="1350" w:type="dxa"/>
            <w:shd w:val="clear" w:color="auto" w:fill="FFFFFF" w:themeFill="background1"/>
            <w:noWrap/>
            <w:tcMar>
              <w:top w:w="75" w:type="dxa"/>
              <w:left w:w="75" w:type="dxa"/>
              <w:bottom w:w="75" w:type="dxa"/>
              <w:right w:w="75" w:type="dxa"/>
            </w:tcMar>
          </w:tcPr>
          <w:p w14:paraId="05B51780" w14:textId="7E212116" w:rsidR="00E96A35" w:rsidRPr="00AF7DC5" w:rsidRDefault="00800E8E" w:rsidP="00497907">
            <w:r>
              <w:lastRenderedPageBreak/>
              <w:t>Daļēji ņemts vērā.</w:t>
            </w:r>
          </w:p>
        </w:tc>
        <w:tc>
          <w:tcPr>
            <w:tcW w:w="4156" w:type="dxa"/>
            <w:shd w:val="clear" w:color="auto" w:fill="FFFFFF" w:themeFill="background1"/>
            <w:noWrap/>
            <w:tcMar>
              <w:top w:w="75" w:type="dxa"/>
              <w:left w:w="75" w:type="dxa"/>
              <w:bottom w:w="75" w:type="dxa"/>
              <w:right w:w="75" w:type="dxa"/>
            </w:tcMar>
            <w:vAlign w:val="center"/>
          </w:tcPr>
          <w:p w14:paraId="00047FE3" w14:textId="52E52D74" w:rsidR="00E96A35" w:rsidRPr="00AF7DC5" w:rsidRDefault="00960C6F" w:rsidP="00960C6F">
            <w:r w:rsidRPr="00AF7DC5">
              <w:t xml:space="preserve">1. </w:t>
            </w:r>
            <w:r w:rsidR="00674A5C" w:rsidRPr="00AF7DC5">
              <w:t>Attiecībā uz 1. punktu n</w:t>
            </w:r>
            <w:r w:rsidR="000F070A" w:rsidRPr="00AF7DC5">
              <w:t xml:space="preserve">orādām, ka VSIA “Latvijas Vides ģeoloģijas un meteoroloģijas centrs” (turpmāk – LVGMC), saskaņā ar spēkā esošiem tiesību aktiem ir kompetentā institūcija derīgo izrakteņu krājumu </w:t>
            </w:r>
            <w:r w:rsidR="7B971F66" w:rsidRPr="00AF7DC5">
              <w:t>akceptēšanai</w:t>
            </w:r>
            <w:r w:rsidR="000F070A" w:rsidRPr="00AF7DC5">
              <w:t xml:space="preserve">. Derīgo izrakteņu krājumu </w:t>
            </w:r>
            <w:r w:rsidR="51838280" w:rsidRPr="00AF7DC5">
              <w:t xml:space="preserve">akceptēšana </w:t>
            </w:r>
            <w:r w:rsidR="000F070A" w:rsidRPr="00AF7DC5">
              <w:t>tiek veikta saskaņā ar</w:t>
            </w:r>
            <w:r w:rsidR="000F070A" w:rsidRPr="00AF7DC5">
              <w:rPr>
                <w:szCs w:val="28"/>
                <w:lang w:val="lv"/>
              </w:rPr>
              <w:t xml:space="preserve"> </w:t>
            </w:r>
            <w:r w:rsidR="6C375F93" w:rsidRPr="00AF7DC5">
              <w:rPr>
                <w:szCs w:val="28"/>
                <w:lang w:val="lv"/>
              </w:rPr>
              <w:t>Ministru kabineta noteikumiem par derīgo izrakteņu ieguves kārtību</w:t>
            </w:r>
            <w:r w:rsidR="000F070A" w:rsidRPr="00AF7DC5">
              <w:t>. Gadījumā, ja derīgo izrakteņu krājumu aprēķinos konstatēta kļūda, iesniedzējam ir tiesības vērsties LVGMC.</w:t>
            </w:r>
          </w:p>
          <w:p w14:paraId="2E48D8F3" w14:textId="77777777" w:rsidR="00960C6F" w:rsidRPr="00AF7DC5" w:rsidRDefault="00960C6F" w:rsidP="00960C6F">
            <w:pPr>
              <w:rPr>
                <w:sz w:val="26"/>
                <w:szCs w:val="26"/>
              </w:rPr>
            </w:pPr>
          </w:p>
          <w:p w14:paraId="47F08466" w14:textId="47193BA9" w:rsidR="00960C6F" w:rsidRPr="00AF7DC5" w:rsidRDefault="00960C6F" w:rsidP="00960C6F">
            <w:pPr>
              <w:pStyle w:val="naisc"/>
              <w:jc w:val="both"/>
              <w:rPr>
                <w:sz w:val="28"/>
                <w:szCs w:val="28"/>
              </w:rPr>
            </w:pPr>
            <w:r w:rsidRPr="00AF7DC5">
              <w:rPr>
                <w:sz w:val="28"/>
                <w:szCs w:val="28"/>
              </w:rPr>
              <w:t xml:space="preserve">Darām zināmu, ka jau šobrīd LVĢMC krājumu akceptēšanas komisijas sēdēs var piedalīties gan pasūtītājs, gan darbu izpildītājs, kā </w:t>
            </w:r>
            <w:r w:rsidRPr="00AF7DC5">
              <w:rPr>
                <w:sz w:val="28"/>
                <w:szCs w:val="28"/>
              </w:rPr>
              <w:lastRenderedPageBreak/>
              <w:t>arī pasūtītājam ir iespēja deleģēt komisijas sēdē piedalīties jebkuru personu, piemēram, attiecīgo ekspertu, kuru viņš uzskata par nepieciešamu.</w:t>
            </w:r>
          </w:p>
          <w:p w14:paraId="71141A0A" w14:textId="77777777" w:rsidR="00960C6F" w:rsidRPr="00AF7DC5" w:rsidRDefault="00960C6F" w:rsidP="00960C6F">
            <w:pPr>
              <w:pStyle w:val="naisc"/>
              <w:jc w:val="both"/>
              <w:rPr>
                <w:sz w:val="28"/>
                <w:szCs w:val="28"/>
              </w:rPr>
            </w:pPr>
            <w:r w:rsidRPr="00AF7DC5">
              <w:rPr>
                <w:sz w:val="28"/>
                <w:szCs w:val="28"/>
              </w:rPr>
              <w:t>Paskaidrojam, ka kopš 2017. gada maija LVĢMC tiek nodrošināts būtiski pilnveidots derīgo izrakteņu krājumu akceptēšanas process, sekmējot pārskatos konstatēto kļūdu un nepilnību novēršanu un derīgo izrakteņu krājumu akceptēšanu iespējami īsākā termiņā.</w:t>
            </w:r>
          </w:p>
          <w:p w14:paraId="2B37F270" w14:textId="77777777" w:rsidR="00960C6F" w:rsidRPr="00AF7DC5" w:rsidRDefault="00960C6F" w:rsidP="00960C6F">
            <w:pPr>
              <w:pStyle w:val="naisc"/>
              <w:jc w:val="both"/>
              <w:rPr>
                <w:sz w:val="28"/>
                <w:szCs w:val="28"/>
              </w:rPr>
            </w:pPr>
            <w:r w:rsidRPr="00AF7DC5">
              <w:rPr>
                <w:sz w:val="28"/>
                <w:szCs w:val="28"/>
              </w:rPr>
              <w:t xml:space="preserve">LVĢMC </w:t>
            </w:r>
            <w:r w:rsidRPr="00AF7DC5">
              <w:rPr>
                <w:sz w:val="28"/>
                <w:szCs w:val="28"/>
                <w:u w:val="single"/>
              </w:rPr>
              <w:t>neatgriež izvērtēšanai iesniegto krājumu aprēķina pārskatu</w:t>
            </w:r>
            <w:r w:rsidRPr="00AF7DC5">
              <w:rPr>
                <w:sz w:val="28"/>
                <w:szCs w:val="28"/>
              </w:rPr>
              <w:t>, ja tiek konstatētas nepilnības, pēc kuru izlabošanas netiek būtiski mainīts pārskata saturs.</w:t>
            </w:r>
          </w:p>
          <w:p w14:paraId="1C5C6F75" w14:textId="77777777" w:rsidR="00960C6F" w:rsidRPr="00AF7DC5" w:rsidRDefault="00960C6F" w:rsidP="00960C6F">
            <w:pPr>
              <w:pStyle w:val="naisc"/>
              <w:jc w:val="both"/>
              <w:rPr>
                <w:sz w:val="28"/>
                <w:szCs w:val="28"/>
              </w:rPr>
            </w:pPr>
            <w:r w:rsidRPr="00AF7DC5">
              <w:rPr>
                <w:sz w:val="28"/>
                <w:szCs w:val="28"/>
              </w:rPr>
              <w:t xml:space="preserve">Šajā gadījumā pārskata sagatavotājs tiek informēts par nepieciešamajiem labojumiem. Tiek noteikts termiņš, kura laikā ir jāveic izmaiņas konkrētās pārskata sadaļās. LVĢMC paātrinātā kārtībā pārliecinās, vai ir veikti visi </w:t>
            </w:r>
            <w:r w:rsidRPr="00AF7DC5">
              <w:rPr>
                <w:sz w:val="28"/>
                <w:szCs w:val="28"/>
              </w:rPr>
              <w:lastRenderedPageBreak/>
              <w:t>nepieciešamie labojumi pārskatā, un akceptē aprēķinātos derīgo izrakteņu krājumus. Šādos gadījumos maksa par pārskatā iestrādāto labojumu pārbaudi netiek piemērota.</w:t>
            </w:r>
          </w:p>
          <w:p w14:paraId="473F104B" w14:textId="6810AFAE" w:rsidR="00960C6F" w:rsidRPr="00AF7DC5" w:rsidRDefault="00960C6F" w:rsidP="00960C6F">
            <w:pPr>
              <w:pStyle w:val="naisc"/>
              <w:spacing w:before="0" w:after="0"/>
              <w:jc w:val="both"/>
              <w:rPr>
                <w:b/>
                <w:sz w:val="28"/>
                <w:szCs w:val="28"/>
              </w:rPr>
            </w:pPr>
          </w:p>
          <w:p w14:paraId="5960E390" w14:textId="537EA21E" w:rsidR="00960C6F" w:rsidRDefault="002E2AE2" w:rsidP="00960C6F">
            <w:pPr>
              <w:pStyle w:val="naisc"/>
              <w:spacing w:before="0" w:after="0"/>
              <w:jc w:val="both"/>
              <w:rPr>
                <w:color w:val="000000"/>
                <w:sz w:val="28"/>
                <w:szCs w:val="28"/>
                <w:bdr w:val="none" w:sz="0" w:space="0" w:color="auto" w:frame="1"/>
              </w:rPr>
            </w:pPr>
            <w:r w:rsidRPr="00AF7DC5">
              <w:rPr>
                <w:color w:val="000000"/>
                <w:sz w:val="28"/>
                <w:szCs w:val="28"/>
                <w:bdr w:val="none" w:sz="0" w:space="0" w:color="auto" w:frame="1"/>
              </w:rPr>
              <w:t>VARAM</w:t>
            </w:r>
            <w:r w:rsidR="00960C6F" w:rsidRPr="00AF7DC5">
              <w:rPr>
                <w:color w:val="000000"/>
                <w:sz w:val="28"/>
                <w:szCs w:val="28"/>
                <w:bdr w:val="none" w:sz="0" w:space="0" w:color="auto" w:frame="1"/>
              </w:rPr>
              <w:t xml:space="preserve"> vērš uzmanību uz to, ka LVĢMC izdotie derīgo izrakteņu krājumu akceptēšanas komisijas lēmumi pakļaujas Administratīvā procesa likuma 1. panta trešās daļas 3. punktā ietvertajai starplēmumu definīcijai, ka administratīvie akti nav starplēmumi </w:t>
            </w:r>
            <w:r w:rsidR="00960C6F" w:rsidRPr="00AF7DC5">
              <w:rPr>
                <w:color w:val="000000"/>
                <w:sz w:val="28"/>
                <w:szCs w:val="28"/>
                <w:bdr w:val="none" w:sz="0" w:space="0" w:color="auto" w:frame="1"/>
              </w:rPr>
              <w:noBreakHyphen/>
              <w:t xml:space="preserve"> tostarp procesuālie lēmumi administratīvā procesa ietvaros, izņemot gadījumu, kad tas pats par sevi skar būtiskas personas tiesības vai tiesiskas intereses vai būtiski apgrūtina to īstenošanu. Ievērojot minēto, arī akcentējamas Augstākās tiesas Senāta atziņas par to, ka administratīvā procesa ietvaros procesuālā darbība ir tāda, kas ir vērsta uz lēmuma pieņemšanai nepieciešamās informācijas </w:t>
            </w:r>
            <w:r w:rsidR="00960C6F" w:rsidRPr="00AF7DC5">
              <w:rPr>
                <w:color w:val="000000"/>
                <w:sz w:val="28"/>
                <w:szCs w:val="28"/>
                <w:bdr w:val="none" w:sz="0" w:space="0" w:color="auto" w:frame="1"/>
              </w:rPr>
              <w:lastRenderedPageBreak/>
              <w:t xml:space="preserve">pieprasīšanu un viedokļa uzklausīšanu, jo tai nav galīgā noregulējuma rakstura. (Senāta 2006.gada 2.maija lēmuma lietā Nr. SKA-261/2006 (A7040205) 7.2. apakšpunkts). Ja ir uzsākts administratīvais process, kura rezultātā tiek izdots administratīvais akts, atsevišķas iestādes darbības vai bezdarbības šā procesa ietvaros neveido patstāvīgu faktisko rīcību. (Senāta 2011.gada 3.marta lēmuma lietā Nr. SKA-415/2011 (A7048510) 7.punkts). Attiecībā uz LVĢMC izdoto derīgo izrakteņu krājumu akceptēšanas komisijas darbībām norādāms, ka administratīvā procesa ietvaros tā veic starpdarbības, kas nerada galīgas tiesiskās sekas, tāpēc starpdarbība (tās neveikšana) pati par sevi nav ne administratīvie akti, ne arī faktiskā rīcība un nav pārsūdzama tiesā atsevišķi no procesa noslēgumā izdodamā administratīvā akta (Administratīvās rajona tiesas Rīgas tiesu nama 2019.gada 12.februāra </w:t>
            </w:r>
            <w:r w:rsidR="00960C6F" w:rsidRPr="00AF7DC5">
              <w:rPr>
                <w:color w:val="000000"/>
                <w:sz w:val="28"/>
                <w:szCs w:val="28"/>
                <w:bdr w:val="none" w:sz="0" w:space="0" w:color="auto" w:frame="1"/>
              </w:rPr>
              <w:lastRenderedPageBreak/>
              <w:t>lēmuma lietā Nr. 680007719 (ECLI:LV:ADRJRIT:2019:0212.680007719.2.L) 6.punkts. Ar Senāta 2019.gada 5.marta lēmumu lietā Nr. SKA-1116/2019 (ECLI:LV:AT:2019:0305.SKA111619.4.L) tika atteikts izskatīt blakus sūdzību).</w:t>
            </w:r>
          </w:p>
          <w:p w14:paraId="6C1BC20E" w14:textId="77777777" w:rsidR="00BE3711" w:rsidRDefault="00BE3711" w:rsidP="00960C6F">
            <w:pPr>
              <w:pStyle w:val="naisc"/>
              <w:spacing w:before="0" w:after="0"/>
              <w:jc w:val="both"/>
              <w:rPr>
                <w:color w:val="000000"/>
                <w:sz w:val="28"/>
                <w:szCs w:val="28"/>
                <w:bdr w:val="none" w:sz="0" w:space="0" w:color="auto" w:frame="1"/>
              </w:rPr>
            </w:pPr>
          </w:p>
          <w:p w14:paraId="4B664E98" w14:textId="4360CFB9" w:rsidR="00BE3711" w:rsidRPr="00AF7DC5" w:rsidRDefault="00BE3711" w:rsidP="00960C6F">
            <w:pPr>
              <w:pStyle w:val="naisc"/>
              <w:spacing w:before="0" w:after="0"/>
              <w:jc w:val="both"/>
              <w:rPr>
                <w:color w:val="000000"/>
                <w:sz w:val="28"/>
                <w:szCs w:val="28"/>
                <w:bdr w:val="none" w:sz="0" w:space="0" w:color="auto" w:frame="1"/>
              </w:rPr>
            </w:pPr>
            <w:r>
              <w:rPr>
                <w:color w:val="000000"/>
                <w:sz w:val="28"/>
                <w:szCs w:val="28"/>
                <w:bdr w:val="none" w:sz="0" w:space="0" w:color="auto" w:frame="1"/>
              </w:rPr>
              <w:t xml:space="preserve">Papildus vēršam uzmanību, ka </w:t>
            </w:r>
            <w:r w:rsidRPr="006D1F54">
              <w:rPr>
                <w:color w:val="000000"/>
                <w:sz w:val="28"/>
                <w:szCs w:val="28"/>
                <w:bdr w:val="none" w:sz="0" w:space="0" w:color="auto" w:frame="1"/>
              </w:rPr>
              <w:t xml:space="preserve"> LVĢMC neatsaka krājumu akceptēšanu pēc būtības</w:t>
            </w:r>
            <w:r>
              <w:rPr>
                <w:color w:val="000000"/>
                <w:sz w:val="28"/>
                <w:szCs w:val="28"/>
                <w:bdr w:val="none" w:sz="0" w:space="0" w:color="auto" w:frame="1"/>
              </w:rPr>
              <w:t xml:space="preserve">, </w:t>
            </w:r>
            <w:r w:rsidRPr="006D1F54">
              <w:rPr>
                <w:color w:val="000000"/>
                <w:sz w:val="28"/>
                <w:szCs w:val="28"/>
                <w:bdr w:val="none" w:sz="0" w:space="0" w:color="auto" w:frame="1"/>
              </w:rPr>
              <w:t>kā minēts iebild</w:t>
            </w:r>
            <w:r>
              <w:rPr>
                <w:color w:val="000000"/>
                <w:sz w:val="28"/>
                <w:szCs w:val="28"/>
                <w:bdr w:val="none" w:sz="0" w:space="0" w:color="auto" w:frame="1"/>
              </w:rPr>
              <w:t>umā</w:t>
            </w:r>
            <w:r w:rsidRPr="006D1F54">
              <w:rPr>
                <w:color w:val="000000"/>
                <w:sz w:val="28"/>
                <w:szCs w:val="28"/>
                <w:bdr w:val="none" w:sz="0" w:space="0" w:color="auto" w:frame="1"/>
              </w:rPr>
              <w:t>, rad</w:t>
            </w:r>
            <w:r>
              <w:rPr>
                <w:color w:val="000000"/>
                <w:sz w:val="28"/>
                <w:szCs w:val="28"/>
                <w:bdr w:val="none" w:sz="0" w:space="0" w:color="auto" w:frame="1"/>
              </w:rPr>
              <w:t>ot</w:t>
            </w:r>
            <w:r w:rsidRPr="006D1F54">
              <w:rPr>
                <w:color w:val="000000"/>
                <w:sz w:val="28"/>
                <w:szCs w:val="28"/>
                <w:bdr w:val="none" w:sz="0" w:space="0" w:color="auto" w:frame="1"/>
              </w:rPr>
              <w:t xml:space="preserve"> tiesiskas sekas – izsniegt vai neizsniegt licenci</w:t>
            </w:r>
            <w:r>
              <w:rPr>
                <w:color w:val="000000"/>
                <w:sz w:val="28"/>
                <w:szCs w:val="28"/>
                <w:bdr w:val="none" w:sz="0" w:space="0" w:color="auto" w:frame="1"/>
              </w:rPr>
              <w:t>. LVĢMC,</w:t>
            </w:r>
            <w:r w:rsidRPr="006D1F54">
              <w:rPr>
                <w:color w:val="000000"/>
                <w:sz w:val="28"/>
                <w:szCs w:val="28"/>
                <w:bdr w:val="none" w:sz="0" w:space="0" w:color="auto" w:frame="1"/>
              </w:rPr>
              <w:t xml:space="preserve"> izvērtējot izpētes rezultātus un aprēķinu, pieprasa veikt korekcijas vai papildinājumus veiktajos darbos, lai tie atbilstu normatīvaj</w:t>
            </w:r>
            <w:r w:rsidR="0026583B">
              <w:rPr>
                <w:color w:val="000000"/>
                <w:sz w:val="28"/>
                <w:szCs w:val="28"/>
                <w:bdr w:val="none" w:sz="0" w:space="0" w:color="auto" w:frame="1"/>
              </w:rPr>
              <w:t>os</w:t>
            </w:r>
            <w:r w:rsidRPr="006D1F54">
              <w:rPr>
                <w:color w:val="000000"/>
                <w:sz w:val="28"/>
                <w:szCs w:val="28"/>
                <w:bdr w:val="none" w:sz="0" w:space="0" w:color="auto" w:frame="1"/>
              </w:rPr>
              <w:t xml:space="preserve"> akt</w:t>
            </w:r>
            <w:r w:rsidR="0026583B">
              <w:rPr>
                <w:color w:val="000000"/>
                <w:sz w:val="28"/>
                <w:szCs w:val="28"/>
                <w:bdr w:val="none" w:sz="0" w:space="0" w:color="auto" w:frame="1"/>
              </w:rPr>
              <w:t>os noteiktajām prasībām</w:t>
            </w:r>
            <w:r w:rsidRPr="006D1F54">
              <w:rPr>
                <w:color w:val="000000"/>
                <w:sz w:val="28"/>
                <w:szCs w:val="28"/>
                <w:bdr w:val="none" w:sz="0" w:space="0" w:color="auto" w:frame="1"/>
              </w:rPr>
              <w:t xml:space="preserve">. Attiecīgi </w:t>
            </w:r>
            <w:r w:rsidR="0026583B">
              <w:rPr>
                <w:color w:val="000000"/>
                <w:sz w:val="28"/>
                <w:szCs w:val="28"/>
                <w:bdr w:val="none" w:sz="0" w:space="0" w:color="auto" w:frame="1"/>
              </w:rPr>
              <w:t xml:space="preserve">- </w:t>
            </w:r>
            <w:r w:rsidRPr="006D1F54">
              <w:rPr>
                <w:color w:val="000000"/>
                <w:sz w:val="28"/>
                <w:szCs w:val="28"/>
                <w:bdr w:val="none" w:sz="0" w:space="0" w:color="auto" w:frame="1"/>
              </w:rPr>
              <w:t>izpildot normatīvā akta prasības par izrakteņu izpēti un krājumu aprēķināšanu</w:t>
            </w:r>
            <w:r w:rsidR="0026583B">
              <w:rPr>
                <w:color w:val="000000"/>
                <w:sz w:val="28"/>
                <w:szCs w:val="28"/>
                <w:bdr w:val="none" w:sz="0" w:space="0" w:color="auto" w:frame="1"/>
              </w:rPr>
              <w:t>,</w:t>
            </w:r>
            <w:r w:rsidRPr="006D1F54">
              <w:rPr>
                <w:color w:val="000000"/>
                <w:sz w:val="28"/>
                <w:szCs w:val="28"/>
                <w:bdr w:val="none" w:sz="0" w:space="0" w:color="auto" w:frame="1"/>
              </w:rPr>
              <w:t xml:space="preserve"> LVĢMC nevar darboties kā licences neizsniegšanas iniciators vai šķērslis.</w:t>
            </w:r>
          </w:p>
          <w:p w14:paraId="7506EEBD" w14:textId="77777777" w:rsidR="00960C6F" w:rsidRPr="00AF7DC5" w:rsidRDefault="00960C6F" w:rsidP="00960C6F">
            <w:pPr>
              <w:pStyle w:val="naisc"/>
              <w:spacing w:before="0" w:after="0"/>
              <w:jc w:val="both"/>
              <w:rPr>
                <w:color w:val="000000"/>
                <w:sz w:val="28"/>
                <w:szCs w:val="28"/>
                <w:bdr w:val="none" w:sz="0" w:space="0" w:color="auto" w:frame="1"/>
              </w:rPr>
            </w:pPr>
          </w:p>
          <w:p w14:paraId="47AAC955" w14:textId="77777777" w:rsidR="00E96A35" w:rsidRPr="00AF7DC5" w:rsidRDefault="00E96A35" w:rsidP="00497907">
            <w:r w:rsidRPr="00AF7DC5">
              <w:t>2.</w:t>
            </w:r>
          </w:p>
          <w:p w14:paraId="7DFA9F9D" w14:textId="311889B7" w:rsidR="00E96A35" w:rsidRPr="00AF7DC5" w:rsidRDefault="00E96A35" w:rsidP="00497907">
            <w:r w:rsidRPr="00AF7DC5">
              <w:lastRenderedPageBreak/>
              <w:t>2.1.</w:t>
            </w:r>
            <w:r w:rsidR="00674A5C" w:rsidRPr="00AF7DC5">
              <w:t xml:space="preserve"> </w:t>
            </w:r>
            <w:r w:rsidR="00B016D0">
              <w:t>Ņemts vērā</w:t>
            </w:r>
            <w:r w:rsidR="00D579E1">
              <w:t>.</w:t>
            </w:r>
          </w:p>
          <w:p w14:paraId="12CA3AA8" w14:textId="7F3F1468" w:rsidR="00E96A35" w:rsidRPr="00AF7DC5" w:rsidRDefault="00E96A35" w:rsidP="00497907">
            <w:r w:rsidRPr="00AF7DC5">
              <w:t>2.2.</w:t>
            </w:r>
            <w:r w:rsidR="006A720A" w:rsidRPr="00AF7DC5">
              <w:t xml:space="preserve"> </w:t>
            </w:r>
            <w:r w:rsidR="000C0BFB" w:rsidRPr="00AF7DC5">
              <w:rPr>
                <w:color w:val="auto"/>
              </w:rPr>
              <w:t>Ņemts vērā.</w:t>
            </w:r>
          </w:p>
          <w:p w14:paraId="7338F2CE" w14:textId="368291F5" w:rsidR="00E96A35" w:rsidRPr="00AF7DC5" w:rsidRDefault="00E96A35" w:rsidP="00497907">
            <w:r w:rsidRPr="00AF7DC5">
              <w:t>2.3.</w:t>
            </w:r>
            <w:r w:rsidR="000C0BFB" w:rsidRPr="00AF7DC5">
              <w:t>Ņ</w:t>
            </w:r>
            <w:r w:rsidR="000C7291" w:rsidRPr="00AF7DC5">
              <w:t>emts vērā</w:t>
            </w:r>
            <w:r w:rsidR="000C0BFB" w:rsidRPr="00AF7DC5">
              <w:t>.</w:t>
            </w:r>
          </w:p>
          <w:p w14:paraId="6AC7B661" w14:textId="39BCB231" w:rsidR="00E96A35" w:rsidRPr="00AF7DC5" w:rsidRDefault="00E96A35" w:rsidP="00497907">
            <w:pPr>
              <w:rPr>
                <w:color w:val="FF0000"/>
              </w:rPr>
            </w:pPr>
            <w:r w:rsidRPr="00AF7DC5">
              <w:t>3</w:t>
            </w:r>
            <w:r w:rsidRPr="00AF7DC5">
              <w:rPr>
                <w:color w:val="auto"/>
              </w:rPr>
              <w:t>.</w:t>
            </w:r>
            <w:r w:rsidR="00C0683B" w:rsidRPr="00AF7DC5">
              <w:rPr>
                <w:color w:val="auto"/>
              </w:rPr>
              <w:t xml:space="preserve"> VARAM ieskatā Likumprojekts neparedz “rekultivēt jebko, kas kāda ieskatā varētu būt saistīts ar ieguvi”</w:t>
            </w:r>
            <w:r w:rsidR="00EF733C" w:rsidRPr="00AF7DC5">
              <w:rPr>
                <w:color w:val="auto"/>
              </w:rPr>
              <w:t>; uzskatām, ka Likumprojektā pašlaik iekļautā prasība ir samērīga</w:t>
            </w:r>
            <w:r w:rsidR="003138A8" w:rsidRPr="00AF7DC5">
              <w:rPr>
                <w:color w:val="auto"/>
              </w:rPr>
              <w:t xml:space="preserve">, lai veicinātu </w:t>
            </w:r>
            <w:r w:rsidR="0009195A" w:rsidRPr="00AF7DC5">
              <w:rPr>
                <w:color w:val="auto"/>
              </w:rPr>
              <w:t xml:space="preserve">teritorijas sakārtošanu tās tālākai izmantošanai </w:t>
            </w:r>
            <w:r w:rsidR="008B046B" w:rsidRPr="00AF7DC5">
              <w:rPr>
                <w:color w:val="auto"/>
              </w:rPr>
              <w:t xml:space="preserve">un </w:t>
            </w:r>
            <w:r w:rsidR="006311EE" w:rsidRPr="00AF7DC5">
              <w:rPr>
                <w:color w:val="auto"/>
              </w:rPr>
              <w:t xml:space="preserve">novērstu </w:t>
            </w:r>
            <w:r w:rsidR="00AA2302" w:rsidRPr="00AF7DC5">
              <w:rPr>
                <w:color w:val="auto"/>
              </w:rPr>
              <w:t>bojājumus</w:t>
            </w:r>
            <w:r w:rsidR="006311EE" w:rsidRPr="00AF7DC5">
              <w:rPr>
                <w:color w:val="auto"/>
              </w:rPr>
              <w:t xml:space="preserve">, kas radušies </w:t>
            </w:r>
            <w:r w:rsidR="000D53DD" w:rsidRPr="00AF7DC5">
              <w:rPr>
                <w:color w:val="auto"/>
              </w:rPr>
              <w:t>zemes dzīļu izmantošanas rezultātā</w:t>
            </w:r>
            <w:r w:rsidR="00EF733C" w:rsidRPr="00AF7DC5">
              <w:rPr>
                <w:color w:val="auto"/>
              </w:rPr>
              <w:t>.</w:t>
            </w:r>
            <w:r w:rsidR="00AA2302" w:rsidRPr="00AF7DC5">
              <w:rPr>
                <w:color w:val="auto"/>
              </w:rPr>
              <w:t xml:space="preserve"> Nav pieļaujams, ka </w:t>
            </w:r>
            <w:r w:rsidR="00A57215" w:rsidRPr="00AF7DC5">
              <w:rPr>
                <w:color w:val="auto"/>
              </w:rPr>
              <w:t xml:space="preserve">zemes dzīļu izmantošanas sagatavošanās darbu </w:t>
            </w:r>
            <w:r w:rsidR="00A73BF1" w:rsidRPr="00AF7DC5">
              <w:rPr>
                <w:color w:val="auto"/>
              </w:rPr>
              <w:t xml:space="preserve">un </w:t>
            </w:r>
            <w:r w:rsidR="00AA2302" w:rsidRPr="00AF7DC5">
              <w:rPr>
                <w:color w:val="auto"/>
              </w:rPr>
              <w:t>zemes dzīļu izmantošanas rezultātā radīti</w:t>
            </w:r>
            <w:r w:rsidR="00A73BF1" w:rsidRPr="00AF7DC5">
              <w:rPr>
                <w:color w:val="auto"/>
              </w:rPr>
              <w:t>e</w:t>
            </w:r>
            <w:r w:rsidR="00AA2302" w:rsidRPr="00AF7DC5">
              <w:rPr>
                <w:color w:val="auto"/>
              </w:rPr>
              <w:t xml:space="preserve"> bojājumi netiek novērsti</w:t>
            </w:r>
            <w:r w:rsidR="00A73BF1" w:rsidRPr="00AF7DC5">
              <w:rPr>
                <w:color w:val="auto"/>
              </w:rPr>
              <w:t>.</w:t>
            </w:r>
          </w:p>
          <w:p w14:paraId="0AAC96A9" w14:textId="2B284607" w:rsidR="00E96A35" w:rsidRPr="00AF7DC5" w:rsidRDefault="00E96A35" w:rsidP="00497907">
            <w:r w:rsidRPr="00AF7DC5">
              <w:t>4.</w:t>
            </w:r>
            <w:r w:rsidR="00103DB2" w:rsidRPr="00AF7DC5">
              <w:t xml:space="preserve"> Ņemts vērā.</w:t>
            </w:r>
          </w:p>
          <w:p w14:paraId="0F534D2A" w14:textId="4A3AABE2" w:rsidR="00EF6971" w:rsidRPr="00AF7DC5" w:rsidRDefault="00E96A35" w:rsidP="00497907">
            <w:r w:rsidRPr="00AF7DC5">
              <w:t>5.</w:t>
            </w:r>
            <w:r w:rsidR="005656C1" w:rsidRPr="00AF7DC5">
              <w:t xml:space="preserve"> </w:t>
            </w:r>
            <w:r w:rsidR="00F06E8E" w:rsidRPr="00AF7DC5">
              <w:t xml:space="preserve">Attiecībā uz </w:t>
            </w:r>
            <w:r w:rsidR="001040F5" w:rsidRPr="00AF7DC5">
              <w:t xml:space="preserve">krājumu akceptēšanas pamatprincipiem – VARAM izvērtēja sniegto priekšlikumu un norāda, ka </w:t>
            </w:r>
            <w:r w:rsidR="006312BD" w:rsidRPr="00AF7DC5">
              <w:t xml:space="preserve">derīgo izrakteņu krājumu akceptēšanas veikšanas prasības ir noteiktas un publiski pieejamas Derīgo izrakteņu krājumu akceptēšanas komisijas nolikumā, kas publicēts LVGMC </w:t>
            </w:r>
            <w:r w:rsidR="006312BD" w:rsidRPr="00AF7DC5">
              <w:lastRenderedPageBreak/>
              <w:t xml:space="preserve">tīmekļa vietnē: </w:t>
            </w:r>
            <w:hyperlink r:id="rId8" w:history="1">
              <w:r w:rsidR="008248D5" w:rsidRPr="00AF7DC5">
                <w:rPr>
                  <w:rStyle w:val="Hyperlink"/>
                </w:rPr>
                <w:t>file:///C:/Users/natalija.slaidina/Downloads/LVGMC_Derigo_izraktenu_krajumu_akceptesanas_komisijas_nolikums.pdf</w:t>
              </w:r>
            </w:hyperlink>
            <w:r w:rsidR="008248D5" w:rsidRPr="00AF7DC5">
              <w:t>. Nosacījums par sēžu atklātību ir ietverts nolikuma 3.4. apakšpunktā, kas noteic: “</w:t>
            </w:r>
            <w:r w:rsidR="000E4943" w:rsidRPr="00AF7DC5">
              <w:t>Komisijas sēdes ir atklātas un notiek klātienē vai tiešsaistē. Sēdē piedalās Komisijas locekļi, LVĢMC darbinieki, kuri iesaistīti VI daļas 1. nodaļā noteikto uzdevumu izpildē, kā arī pēc iepriekšējas pieteikšanās tajā drīkst piedalīties personas, kuru iesniegtie materiāli tiek vērtēti Komisijas sēdē (Pārskata iesniedzējs un darbu pasūtītājs)</w:t>
            </w:r>
            <w:r w:rsidR="008248D5" w:rsidRPr="00AF7DC5">
              <w:t>”</w:t>
            </w:r>
            <w:r w:rsidR="000E4943" w:rsidRPr="00AF7DC5">
              <w:t>.</w:t>
            </w:r>
          </w:p>
        </w:tc>
      </w:tr>
      <w:tr w:rsidR="00EF6971" w:rsidRPr="00AF7DC5" w14:paraId="1615A533" w14:textId="77777777" w:rsidTr="00800E8E">
        <w:tc>
          <w:tcPr>
            <w:tcW w:w="750" w:type="dxa"/>
            <w:shd w:val="clear" w:color="auto" w:fill="FFFFFF" w:themeFill="background1"/>
            <w:noWrap/>
            <w:tcMar>
              <w:top w:w="75" w:type="dxa"/>
              <w:left w:w="75" w:type="dxa"/>
              <w:bottom w:w="75" w:type="dxa"/>
              <w:right w:w="75" w:type="dxa"/>
            </w:tcMar>
            <w:vAlign w:val="center"/>
          </w:tcPr>
          <w:p w14:paraId="3E23578C" w14:textId="77777777" w:rsidR="00EF6971" w:rsidRPr="00AF7DC5" w:rsidRDefault="00AA7FC3">
            <w:pPr>
              <w:jc w:val="center"/>
            </w:pPr>
            <w:r w:rsidRPr="00AF7DC5">
              <w:lastRenderedPageBreak/>
              <w:t>2.</w:t>
            </w:r>
          </w:p>
        </w:tc>
        <w:tc>
          <w:tcPr>
            <w:tcW w:w="2505" w:type="dxa"/>
            <w:shd w:val="clear" w:color="auto" w:fill="FFFFFF" w:themeFill="background1"/>
            <w:noWrap/>
            <w:tcMar>
              <w:top w:w="75" w:type="dxa"/>
              <w:left w:w="75" w:type="dxa"/>
              <w:bottom w:w="75" w:type="dxa"/>
              <w:right w:w="75" w:type="dxa"/>
            </w:tcMar>
            <w:vAlign w:val="center"/>
          </w:tcPr>
          <w:p w14:paraId="6CE26847" w14:textId="00C9B18A" w:rsidR="00EF6971" w:rsidRPr="00AF7DC5" w:rsidRDefault="00AA7FC3">
            <w:pPr>
              <w:jc w:val="left"/>
            </w:pPr>
            <w:r w:rsidRPr="00AF7DC5">
              <w:t>AS Latvijas valsts meži</w:t>
            </w:r>
          </w:p>
        </w:tc>
        <w:tc>
          <w:tcPr>
            <w:tcW w:w="5806" w:type="dxa"/>
            <w:shd w:val="clear" w:color="auto" w:fill="FFFFFF" w:themeFill="background1"/>
            <w:noWrap/>
            <w:tcMar>
              <w:top w:w="75" w:type="dxa"/>
              <w:left w:w="75" w:type="dxa"/>
              <w:bottom w:w="75" w:type="dxa"/>
              <w:right w:w="75" w:type="dxa"/>
            </w:tcMar>
            <w:vAlign w:val="center"/>
          </w:tcPr>
          <w:p w14:paraId="44C76481" w14:textId="2CC8F036" w:rsidR="00EF6971" w:rsidRPr="00AF7DC5" w:rsidRDefault="00AA7FC3" w:rsidP="00C106D8">
            <w:r w:rsidRPr="00AF7DC5">
              <w:t>Vides aizsardzības un reģionālās attīstības ministrija (turpmāk – VARAM) sagatavojusi likumprojektu “Grozījumi likumā “Par zemes dzīlēm”” (Projekta ID 22-TA-2212) (turpmāk – Likumprojekts). Akciju sabiedrība “Latvijas valsts meži” (turpmāk – LVM) izskatījusi Likumprojektu un savas kompetences ietvaros sniedz atzinumu par to.</w:t>
            </w:r>
            <w:r w:rsidRPr="00AF7DC5">
              <w:br/>
              <w:t>[1] Likumprojekta 3. punkts “4. pantā: izteikt piekto daļu šādā redakcijā:</w:t>
            </w:r>
            <w:r w:rsidRPr="00AF7DC5">
              <w:br/>
              <w:t>"(5) Vietējā pašvaldība savā administratīvajā teritorijā Ministru kabineta noteiktajā kārtībā:</w:t>
            </w:r>
            <w:r w:rsidRPr="00AF7DC5">
              <w:br/>
              <w:t>1) pārrauga būvniecības objektos iegūto un izmantoto dabas resursu apriti;</w:t>
            </w:r>
            <w:r w:rsidRPr="00AF7DC5">
              <w:br/>
              <w:t>2) nodrošina un pārrauga derīgo izrakteņu ieguves vietu rekultivāciju."</w:t>
            </w:r>
            <w:r w:rsidRPr="00AF7DC5">
              <w:br/>
              <w:t>Likumprojekta anotācijā šis grozījums paskaidrots ar tekstu: “Likumprojekts paredz grozījumus Likuma 4. pantā, 6. pantā un 10. pantā. Vienlaikus tiek saglabāts nosacījums par derīgo izrakteņu ieguves vietas rekultivācijas veida saskaņošanu ar vietējo pašvaldību, kā arī par derīgo izrakteņu ieguves vietu rekultivācijas pārraudzību.”</w:t>
            </w:r>
            <w:r w:rsidRPr="00AF7DC5">
              <w:br/>
              <w:t xml:space="preserve">LVM ieskatā Likumprojektā paredzētais regulējums, ka vietējā pašvaldība savā administratīvajā teritorijā nodrošina un pārrauga derīgo izrakteņu ieguves vietu rekultivāciju neatbilst anotācijā sniegtajam paskaidrojumam par </w:t>
            </w:r>
            <w:r w:rsidRPr="00AF7DC5">
              <w:lastRenderedPageBreak/>
              <w:t>grozījumu būtību un var radīt neskaidrības likuma piemērošanā. Spēkā esošais regulējums paredz, ka pašvaldība saskaņo rekultivācijas veidu derīgo izrakteņu ieguves projekta izstrādes stadijā un pabeigtos rekultivācijas darbus pieņem būvvaldes izveidota komisija.</w:t>
            </w:r>
            <w:r w:rsidRPr="00AF7DC5">
              <w:br/>
              <w:t>Ņemot vērā, ka Likumprojektā ir iekļauta papildu funkcija pašvaldībai: “nodrošina derīgo izrakteņu ieguves vietu rekultivāciju”, nepieciešams Likumprojekta anotācijā paskaidrot šīs funkcijas iekļaušanas pamatojumu un robežas.</w:t>
            </w:r>
            <w:r w:rsidRPr="00AF7DC5">
              <w:br/>
              <w:t xml:space="preserve">[2] Papildus attiecībā uz Likumprojekta 3. punktu, LVM norāda, ka nepieciešama reforma arī vietējo pašvaldību funkcijai: “pārrauga derīgo izrakteņu ieguves vietu rekultivāciju” attiecībā uz pienākumu izveidot komisiju rekultivācijas darbu pieņemšanai. Likumprojekta vispārējais mērķis paredz samazināt iesaistīto institūciju skaitu, mazināt birokrātiju. Koncentrējot viena uzdevuma izpildi vienas institūcijas pārziņā tiek nodrošināta sistēmiska un vienāda pieeja viena jautājuma risināšanai, piemēram, licences izsniegšana. Pēc analoģijas arī rekultivācijas darbu pieņemšanu var nodrošināt viena institūcija (Valsts vides dienests, kas ir saskaņojis projektu), pieaicinot pašvaldību (būvvaldes) pārstāvjus. LVM prakse norāda, ka vietējām pašvaldībām ir reti jāorganizē rekultivācijas komisijas darbu, tādēļ arī </w:t>
            </w:r>
            <w:r w:rsidRPr="00AF7DC5">
              <w:lastRenderedPageBreak/>
              <w:t>rekultivācijas pieņemšanas komisijas izveidē un darbā ir novērojama tā pati problemātika, kas attiecināma uz bieži sastopamo derīgo izrakteņu atļauju izsniegšanu - nav izveidojusies vienota prakse. Jāatzīmē arī apstākli, ka derīgo izrakteņu ieguves projektus pašvaldības nesaskaņo, bet tikai sniedz rekultivācijas nosacījumus, attiecīgi arī rekultivācijas pieņemšanu atbilstoši projektam racionālāk būtu organizēt Valsts vides dienestam, pieaicinot attiecīgās pašvaldības pārstāvi.</w:t>
            </w:r>
            <w:r w:rsidRPr="00AF7DC5">
              <w:br/>
              <w:t>[3] Likumprojekta 14. punkts paredz Likuma Par zemes dzīlēm 16. panta piekto daļu izteikt šādā redakcijā: “Pašvaldība informē Valsts vides dienestu, ja tā konstatē vai saņem informāciju par iespējamu normatīvo aktu neievērošanu zemes dzīļu jomā pašvaldības teritorijā objektā, kurā notiek patvaļīga zemes dzīļu ieguve, kurā notiek būvdarbi vai kuram izsniegta zemes dzīļu izmantošanas licence. Gadījumā, ja pašvaldība konstatē vai saņem informāciju par iespējamu normatīvo aktu neievērošanu zemes dzīļu jomā pašvaldības teritorijā objektā, kuram izsniegta bieži sastopamo derīgo izrakteņu ieguves atļauja, pašvaldība izvērtē bieži sastopamo derīgo izrakteņu ieguves atļaujas ierobežošanu vai apturēšanu.”</w:t>
            </w:r>
            <w:r w:rsidRPr="00AF7DC5">
              <w:br/>
              <w:t xml:space="preserve">LVM ierosina izslēgt otro teikumu attiecībā uz tiesībām vietējām pašvaldībām izvērtēt bieži </w:t>
            </w:r>
            <w:r w:rsidRPr="00AF7DC5">
              <w:lastRenderedPageBreak/>
              <w:t>sastopamo derīgo izrakteņu ieguves atļaujas ierobežošanu vai apturēšanu, šīs tiesības nododot Valsts vides dienestam. Likumprojekta mērķis ir optimizēt un nodalīt iesaistīto institūciju funkcijas zemes dzīļu izmantošanas jomā un samazināt administratīvo slogu zemes dzīļu izmantošanai nepieciešamās dokumentācijas apjomus. Ja ar Likumprojektu paredzēts pašvaldībām vairs neizsniegt jaunas bieži sastopamo derīgo izrakteņu ieguves atļaujas, tad lietderīgi ir vienlaicīgi arī kontroles funkciju ar tiesībām ierobežot vai apturēt derīgo izrakteņu ieguvi nodot vienas institūcijas – Valsts vides dienesta pārziņā, kas attiecīgi arī var uzņemties atbildību par vienādu sankciju piemērošanu par vienādiem pārkāpumiem atšķirīgās Latvijas teritorijās. Nav nepieciešamības saglabāt pārejas periodu līdz 25 gadiem ar tiesībām vietējām pašvaldībām turpināt kontrolēt izsniegto bieži sastopamo derīgo izrakteņu atļauju izpildi. Pašvaldībām likums nosaka pienākumu informēt Valsts vides dienestu par konstatētiem pārkāpumiem.</w:t>
            </w:r>
            <w:r w:rsidRPr="00AF7DC5">
              <w:br/>
              <w:t xml:space="preserve">Papildus Likumprojektā ir nodrošināma kompleksa bieži sastopamo derīgo izrakteņu ieguves atļauju pārņemšana Valsts vides dienesta pārziņā pēc to reģistrācijas atbilstoši Pārejas noteikumu 32. pantam ar tiesībām veikt atļaujās noteikto noteikumu izpildes kontroli, veikt atļauju </w:t>
            </w:r>
            <w:r w:rsidRPr="00AF7DC5">
              <w:lastRenderedPageBreak/>
              <w:t>labošanu u.tml.</w:t>
            </w:r>
            <w:r w:rsidRPr="00AF7DC5">
              <w:br/>
              <w:t>[4] LVM ierosina Likuma Par zemes dzīlēm 10. panta otro daļu papildināt ar sekojošu noteikumu: “Publiskas personas īpašumā esošā zemē zemes dzīļu izmantošanas licence var tikt</w:t>
            </w:r>
            <w:r w:rsidR="00587EBD" w:rsidRPr="00AF7DC5">
              <w:t xml:space="preserve"> </w:t>
            </w:r>
            <w:r w:rsidRPr="00AF7DC5">
              <w:t>izsniegta viena īpašnieka zemes robežās.”</w:t>
            </w:r>
            <w:r w:rsidRPr="00AF7DC5">
              <w:br/>
              <w:t>Šāds ierobežojums nepieciešams, lai varētu nodrošināt precīzu derīgo izrakteņu uzskaiti publisko personu bilances vajadzībām. Situācijā, kad viena licence tiek izsniegta, apvienojot vairāku īpašnieku zemes, ģeoloģiskā izpēte, atlikušo krājumu aprēķins un citas uzskaites darbības tiek veiktas licences robežās, neveicot atsevišķu īpašumu izdalīšanu.</w:t>
            </w:r>
            <w:r w:rsidRPr="00AF7DC5">
              <w:br/>
              <w:t>[5] LVM ierosina Likuma Par zemes dzīlēm 10. panta sestajā daļā otrajā teikumā izslēgt tekstu: “bet jaunajam zemes dzīļu izmantotājam ir tiesības saņemt jaunu licenci vai licenci iepriekš izsniegtās atļaujas vietā bez konkursa (izsoles), ja viņš uzņemas iepriekš izsniegtajā licencē vai atļaujā noteiktos pienākumus.</w:t>
            </w:r>
            <w:r w:rsidRPr="00AF7DC5">
              <w:br/>
              <w:t xml:space="preserve">Šis nosacījums neatbilst citiem normatīvajiem aktiem un praksei. Ja zeme pieder publiskai personai, tad normatīvie akti regulē zemes nomas tiesību piešķiršanas kārtību, rīkojot konkursu ar tam sekojošu izsoli vai bez konkursa rīkošanas. Atsevišķs konkurss licences saņemšanai netiek rīkots. Ministru kabineta noteikumi Nr. 696 </w:t>
            </w:r>
            <w:r w:rsidRPr="00AF7DC5">
              <w:lastRenderedPageBreak/>
              <w:t>“Zemes dzīļu izmantošanas licenču un bieži sastopamo derīgo izrakteņu ieguves atļauju izsniegšanas kārtība, kā arī publiskas personas zemes iznomāšanas kārtība zemes dzīļu izmantošanai” regulē licences izsniegšanas kārtību, nosakot iesniedzamos dokumentus, t.sk. līgumu, kas apliecina tiesības izmantot zemes dzīles. Publiskas personas finanšu līdzekļu un mantas izšķērdēšanas novēršanas likums regulē publiskas personas pienākumus rīcībai ar publisko īpašumu, t.sk. nosakot, ka manta atsavināma un nododama īpašumā vai lietošanā citai personai par iespējami augstāku cenu. Saistību nodošana trešajai pusei tikai ar tādu nosacījumu, ka tā uzņemas iepriekšējās saistības neatbilst regulējumam par rīcību ar publiskas personas mantu, turklāt to var uzskatīt arī par neatbilstošu likuma Par zemes dzīlēm 10. panta sestās daļas sākuma tekstam, kas nosaka aizliegumu veikt jebkādus darījumus ar licenci.</w:t>
            </w:r>
            <w:r w:rsidRPr="00AF7DC5">
              <w:br/>
              <w:t>Attiecībā uz privātpersonām piederošu zemi konkursi zemes dzīļu izmantošanai netiek rīkoti, līdz ar to likumā noteiktai atrunai par licences nodošanu bez konkursa nav nozīmes.</w:t>
            </w:r>
            <w:r w:rsidRPr="00AF7DC5">
              <w:br/>
            </w:r>
            <w:r w:rsidRPr="00AF7DC5">
              <w:br/>
              <w:t>LVM Zemes dzīles direktore Kristīne Ansone</w:t>
            </w:r>
            <w:r w:rsidRPr="00AF7DC5">
              <w:br/>
            </w:r>
          </w:p>
        </w:tc>
        <w:tc>
          <w:tcPr>
            <w:tcW w:w="1350" w:type="dxa"/>
            <w:shd w:val="clear" w:color="auto" w:fill="FFFFFF" w:themeFill="background1"/>
            <w:noWrap/>
            <w:tcMar>
              <w:top w:w="75" w:type="dxa"/>
              <w:left w:w="75" w:type="dxa"/>
              <w:bottom w:w="75" w:type="dxa"/>
              <w:right w:w="75" w:type="dxa"/>
            </w:tcMar>
          </w:tcPr>
          <w:p w14:paraId="30677451" w14:textId="2C45EB90" w:rsidR="00EF6971" w:rsidRPr="00AF7DC5" w:rsidRDefault="00800E8E" w:rsidP="00497907">
            <w:r>
              <w:lastRenderedPageBreak/>
              <w:t>Daļēji ņemts vērā.</w:t>
            </w:r>
          </w:p>
        </w:tc>
        <w:tc>
          <w:tcPr>
            <w:tcW w:w="4156" w:type="dxa"/>
            <w:shd w:val="clear" w:color="auto" w:fill="FFFFFF" w:themeFill="background1"/>
            <w:noWrap/>
            <w:tcMar>
              <w:top w:w="75" w:type="dxa"/>
              <w:left w:w="75" w:type="dxa"/>
              <w:bottom w:w="75" w:type="dxa"/>
              <w:right w:w="75" w:type="dxa"/>
            </w:tcMar>
          </w:tcPr>
          <w:p w14:paraId="7462622A" w14:textId="7CDC1A7F" w:rsidR="00EF6971" w:rsidRPr="00AF7DC5" w:rsidRDefault="00A50EE3" w:rsidP="00497907">
            <w:r w:rsidRPr="00AF7DC5">
              <w:t xml:space="preserve">1. </w:t>
            </w:r>
            <w:r w:rsidR="009E1C8B" w:rsidRPr="00AF7DC5">
              <w:rPr>
                <w:color w:val="auto"/>
              </w:rPr>
              <w:t xml:space="preserve">VARAM norāda, ka pašlaik spēkā esošā </w:t>
            </w:r>
            <w:r w:rsidR="001B14DC" w:rsidRPr="00AF7DC5">
              <w:rPr>
                <w:color w:val="auto"/>
              </w:rPr>
              <w:t xml:space="preserve">“Par zemes dzīlēm” </w:t>
            </w:r>
            <w:r w:rsidR="00BD2161" w:rsidRPr="00AF7DC5">
              <w:rPr>
                <w:color w:val="auto"/>
              </w:rPr>
              <w:t>4. panta piektā</w:t>
            </w:r>
            <w:r w:rsidR="001D776B" w:rsidRPr="00AF7DC5">
              <w:rPr>
                <w:color w:val="auto"/>
              </w:rPr>
              <w:t>s</w:t>
            </w:r>
            <w:r w:rsidR="00BD2161" w:rsidRPr="00AF7DC5">
              <w:rPr>
                <w:color w:val="auto"/>
              </w:rPr>
              <w:t xml:space="preserve"> daļa</w:t>
            </w:r>
            <w:r w:rsidR="001D776B" w:rsidRPr="00AF7DC5">
              <w:rPr>
                <w:color w:val="auto"/>
              </w:rPr>
              <w:t>s 2. punkts</w:t>
            </w:r>
            <w:r w:rsidR="00BD2161" w:rsidRPr="00AF7DC5">
              <w:rPr>
                <w:color w:val="auto"/>
              </w:rPr>
              <w:t xml:space="preserve"> jau noteic, ka </w:t>
            </w:r>
            <w:r w:rsidR="009F20AD" w:rsidRPr="00AF7DC5">
              <w:rPr>
                <w:color w:val="auto"/>
              </w:rPr>
              <w:t>pašvaldība pārrauga derīgo izrakteņu ieguves vietu rekultivāciju. Likumprojekt</w:t>
            </w:r>
            <w:r w:rsidR="00A814DE" w:rsidRPr="00AF7DC5">
              <w:rPr>
                <w:color w:val="auto"/>
              </w:rPr>
              <w:t>ā paredzētā likuma “Par zemes dzīlēm” 4. panta piektās daļas 2. punkta redakcija</w:t>
            </w:r>
            <w:r w:rsidR="00B92DDD" w:rsidRPr="00AF7DC5">
              <w:rPr>
                <w:color w:val="auto"/>
              </w:rPr>
              <w:t xml:space="preserve"> neparedz pašvaldībai jaunas funkcijas noteikšanu, jo </w:t>
            </w:r>
            <w:r w:rsidR="00FE2AF3" w:rsidRPr="00AF7DC5">
              <w:rPr>
                <w:color w:val="auto"/>
              </w:rPr>
              <w:t xml:space="preserve">derīgo izrakteņu ieguves vietu rekultivācijas </w:t>
            </w:r>
            <w:r w:rsidR="00B92DDD" w:rsidRPr="00AF7DC5">
              <w:rPr>
                <w:color w:val="auto"/>
              </w:rPr>
              <w:t xml:space="preserve">pārraudzība ietver sevī </w:t>
            </w:r>
            <w:r w:rsidR="009F20A5" w:rsidRPr="00AF7DC5">
              <w:rPr>
                <w:color w:val="auto"/>
              </w:rPr>
              <w:t xml:space="preserve">atbildību par rekultivācijas veikšanu </w:t>
            </w:r>
            <w:r w:rsidR="00A16D96" w:rsidRPr="00AF7DC5">
              <w:rPr>
                <w:color w:val="auto"/>
              </w:rPr>
              <w:t xml:space="preserve">gan </w:t>
            </w:r>
            <w:r w:rsidR="00A07DDB" w:rsidRPr="00AF7DC5">
              <w:rPr>
                <w:color w:val="auto"/>
              </w:rPr>
              <w:t>veicot kontroli un uzraudzību, gan nodrošinot, lai rekultivācijas darbi tiešām tiktu paveikti.</w:t>
            </w:r>
          </w:p>
          <w:p w14:paraId="12E2BF01" w14:textId="5A302685" w:rsidR="00A50EE3" w:rsidRPr="00AF7DC5" w:rsidRDefault="00A50EE3" w:rsidP="00497907">
            <w:r w:rsidRPr="00AF7DC5">
              <w:t>2.</w:t>
            </w:r>
            <w:r w:rsidR="00067C99" w:rsidRPr="00AF7DC5">
              <w:t xml:space="preserve"> </w:t>
            </w:r>
            <w:r w:rsidR="008709CB" w:rsidRPr="00AF7DC5">
              <w:t xml:space="preserve">VARAM izvērtēja pausto viedokli un </w:t>
            </w:r>
            <w:r w:rsidR="00FE7D2A" w:rsidRPr="00AF7DC5">
              <w:t>pauž sekojoš</w:t>
            </w:r>
            <w:r w:rsidR="008F54F9">
              <w:t>o</w:t>
            </w:r>
            <w:r w:rsidR="00FE7D2A" w:rsidRPr="00AF7DC5">
              <w:t>.</w:t>
            </w:r>
            <w:r w:rsidR="00BE2E0C" w:rsidRPr="00AF7DC5">
              <w:t xml:space="preserve"> </w:t>
            </w:r>
            <w:r w:rsidR="00357EEC" w:rsidRPr="00AF7DC5">
              <w:t xml:space="preserve">Pašvaldības kompetencē ir nodrošināt savas teritorijas attīstību un </w:t>
            </w:r>
            <w:r w:rsidR="00131600" w:rsidRPr="00AF7DC5">
              <w:t>sakārtošanu</w:t>
            </w:r>
            <w:r w:rsidR="00821DA0" w:rsidRPr="00AF7DC5">
              <w:t xml:space="preserve">, attiecīgi VARAM nesaskata pamatojumu, kādēļ </w:t>
            </w:r>
            <w:r w:rsidR="00903C17" w:rsidRPr="00AF7DC5">
              <w:t xml:space="preserve">Valsts vides dienestam būtu jāpārņem </w:t>
            </w:r>
            <w:r w:rsidR="00025EB1" w:rsidRPr="00AF7DC5">
              <w:t xml:space="preserve">pašvaldības būvvaldei noteiktā funkcija organizēt rekultivācijas darbu pieņemšanas komisijas darbu. </w:t>
            </w:r>
            <w:r w:rsidR="00C8126F" w:rsidRPr="00AF7DC5">
              <w:t xml:space="preserve">Jāņem vērā, ka </w:t>
            </w:r>
            <w:r w:rsidR="00C8126F" w:rsidRPr="00AF7DC5">
              <w:lastRenderedPageBreak/>
              <w:t xml:space="preserve">Valsts vides dienests vienpersoniski tāpat nevarēs pieņemt </w:t>
            </w:r>
            <w:r w:rsidR="00DF24FB" w:rsidRPr="00AF7DC5">
              <w:t xml:space="preserve">lēmumu par rekultivācijas darbu pieņemšanu – kā arī AS “Latvijas valsts meži” min savā priekšlikumā, ka Valsts vides dienests pieaicinātu </w:t>
            </w:r>
            <w:r w:rsidR="00306F4C" w:rsidRPr="00AF7DC5">
              <w:t>pašvaldības pārstāvi. VARAM norāda, ka</w:t>
            </w:r>
            <w:r w:rsidR="007E28E0" w:rsidRPr="00AF7DC5">
              <w:t xml:space="preserve"> nepieciešamības gadījumā Valsts vides dienesta pārstāv</w:t>
            </w:r>
            <w:r w:rsidR="00535CA7" w:rsidRPr="00AF7DC5">
              <w:t>j</w:t>
            </w:r>
            <w:r w:rsidR="007E28E0" w:rsidRPr="00AF7DC5">
              <w:t>i vienmēr ir pieejami konsultācijām</w:t>
            </w:r>
            <w:r w:rsidR="00535CA7" w:rsidRPr="00AF7DC5">
              <w:t>, lai sniegtu skaidrojumus gan pašvaldībām, gan citām personām par tiesību aktu piemērošanu.</w:t>
            </w:r>
            <w:r w:rsidR="00D83178">
              <w:t xml:space="preserve"> Pie tam tieši pašvaldībai ir noteikta funkcija pārraudzīt rekultivāciju.</w:t>
            </w:r>
          </w:p>
          <w:p w14:paraId="55B8105A" w14:textId="250586C8" w:rsidR="00A50EE3" w:rsidRPr="00AF7DC5" w:rsidRDefault="00A50EE3" w:rsidP="00497907">
            <w:pPr>
              <w:rPr>
                <w:color w:val="auto"/>
              </w:rPr>
            </w:pPr>
            <w:r w:rsidRPr="00AF7DC5">
              <w:t>3.</w:t>
            </w:r>
            <w:r w:rsidR="003A3CCE" w:rsidRPr="00AF7DC5">
              <w:t xml:space="preserve"> </w:t>
            </w:r>
            <w:r w:rsidR="002540B0" w:rsidRPr="00AF7DC5">
              <w:rPr>
                <w:color w:val="auto"/>
              </w:rPr>
              <w:t>Ņemts vērā, precizējot</w:t>
            </w:r>
            <w:r w:rsidR="003977AF" w:rsidRPr="00AF7DC5">
              <w:rPr>
                <w:color w:val="auto"/>
              </w:rPr>
              <w:t xml:space="preserve"> Likumprojektā ietverto likuma “Par zemes dzīlēm” ietverto </w:t>
            </w:r>
            <w:r w:rsidR="005014B1" w:rsidRPr="00AF7DC5">
              <w:rPr>
                <w:color w:val="auto"/>
              </w:rPr>
              <w:t>16. panta piektās daļas redakciju un nosakot precīzi gadījumus, kad pašvaldībai jāinformē Valsts vides dienests</w:t>
            </w:r>
            <w:r w:rsidR="00E36618" w:rsidRPr="00AF7DC5">
              <w:rPr>
                <w:color w:val="auto"/>
              </w:rPr>
              <w:t xml:space="preserve"> par iespējamiem pārkāpumiem tās teritorijā un kad pašvaldībai jāizvērtē pašai </w:t>
            </w:r>
            <w:r w:rsidR="00F270D4" w:rsidRPr="00AF7DC5">
              <w:rPr>
                <w:color w:val="auto"/>
              </w:rPr>
              <w:t xml:space="preserve">bieži sastopamo derīgo izrakteņu ieguves atļaujas ierobežošana vai apturēšana. Norādām, ka </w:t>
            </w:r>
            <w:r w:rsidR="00704F52" w:rsidRPr="00AF7DC5">
              <w:rPr>
                <w:color w:val="auto"/>
              </w:rPr>
              <w:t xml:space="preserve">Valsts vides dienests nevar uzņemties un veikt </w:t>
            </w:r>
            <w:r w:rsidR="00704F52" w:rsidRPr="00AF7DC5">
              <w:rPr>
                <w:color w:val="auto"/>
              </w:rPr>
              <w:lastRenderedPageBreak/>
              <w:t>pašvaldības izsniegto bieži sastopamo derīgo izrakteņu ieguves atļauju ierobežošanu vai apturēšanu, kamēr šīs atļaujas ir pašvaldības kontrolē – t.i., kamēr tās nav pārreģistrētas Valsts vides dienestā.</w:t>
            </w:r>
          </w:p>
          <w:p w14:paraId="006F085B" w14:textId="4E781D09" w:rsidR="00A50EE3" w:rsidRPr="00AF7DC5" w:rsidRDefault="00A50EE3" w:rsidP="00497907">
            <w:pPr>
              <w:rPr>
                <w:color w:val="auto"/>
              </w:rPr>
            </w:pPr>
            <w:r w:rsidRPr="00AF7DC5">
              <w:rPr>
                <w:color w:val="auto"/>
              </w:rPr>
              <w:t>4.</w:t>
            </w:r>
            <w:r w:rsidR="00705BAA" w:rsidRPr="00AF7DC5">
              <w:rPr>
                <w:color w:val="auto"/>
              </w:rPr>
              <w:t xml:space="preserve"> </w:t>
            </w:r>
            <w:r w:rsidR="00DA2C3F" w:rsidRPr="00AF7DC5">
              <w:rPr>
                <w:color w:val="auto"/>
              </w:rPr>
              <w:t>Priekšlikums izvērtēts, taču, ņemot vērā, ka tā ieviešana būtiski palielinātu slogu gan ieguvējiem, gan Valsts vides dienestam, kuram būtu jāizsniedz vairāk administratīvo aktu, šobrīd netiek saskatīta iespēja priekšlikumu ņemt vērā.</w:t>
            </w:r>
            <w:r w:rsidR="00937C96">
              <w:rPr>
                <w:color w:val="auto"/>
              </w:rPr>
              <w:t xml:space="preserve"> N</w:t>
            </w:r>
            <w:r w:rsidR="000E5046">
              <w:rPr>
                <w:color w:val="auto"/>
              </w:rPr>
              <w:t>etika saskatīts pietiekams pamats, lai vienas licences vietā, kā ir līdz šim, tiktu izsniegtas vairākas licences.</w:t>
            </w:r>
          </w:p>
          <w:p w14:paraId="3857493F" w14:textId="3A845632" w:rsidR="00A50EE3" w:rsidRPr="00AF7DC5" w:rsidRDefault="00A50EE3" w:rsidP="00497907">
            <w:pPr>
              <w:rPr>
                <w:color w:val="FF0000"/>
              </w:rPr>
            </w:pPr>
            <w:r w:rsidRPr="00AF7DC5">
              <w:rPr>
                <w:color w:val="auto"/>
              </w:rPr>
              <w:t>5.</w:t>
            </w:r>
            <w:r w:rsidR="00470029" w:rsidRPr="00AF7DC5">
              <w:rPr>
                <w:color w:val="auto"/>
              </w:rPr>
              <w:t xml:space="preserve"> </w:t>
            </w:r>
            <w:r w:rsidR="00617393">
              <w:rPr>
                <w:color w:val="auto"/>
              </w:rPr>
              <w:t>Ņemts vērā.</w:t>
            </w:r>
          </w:p>
          <w:p w14:paraId="0BE61DE6" w14:textId="46F17661" w:rsidR="00A50EE3" w:rsidRPr="00AF7DC5" w:rsidRDefault="00A50EE3" w:rsidP="00497907"/>
        </w:tc>
      </w:tr>
      <w:tr w:rsidR="00EF6971" w:rsidRPr="00AF7DC5" w14:paraId="2C565E51" w14:textId="77777777" w:rsidTr="00800E8E">
        <w:tc>
          <w:tcPr>
            <w:tcW w:w="750" w:type="dxa"/>
            <w:shd w:val="clear" w:color="auto" w:fill="FFFFFF" w:themeFill="background1"/>
            <w:noWrap/>
            <w:tcMar>
              <w:top w:w="75" w:type="dxa"/>
              <w:left w:w="75" w:type="dxa"/>
              <w:bottom w:w="75" w:type="dxa"/>
              <w:right w:w="75" w:type="dxa"/>
            </w:tcMar>
            <w:vAlign w:val="center"/>
          </w:tcPr>
          <w:p w14:paraId="576F422F" w14:textId="77777777" w:rsidR="00EF6971" w:rsidRPr="00AF7DC5" w:rsidRDefault="00AA7FC3">
            <w:pPr>
              <w:jc w:val="center"/>
            </w:pPr>
            <w:r w:rsidRPr="00AF7DC5">
              <w:lastRenderedPageBreak/>
              <w:t>3.</w:t>
            </w:r>
          </w:p>
        </w:tc>
        <w:tc>
          <w:tcPr>
            <w:tcW w:w="2505" w:type="dxa"/>
            <w:shd w:val="clear" w:color="auto" w:fill="FFFFFF" w:themeFill="background1"/>
            <w:noWrap/>
            <w:tcMar>
              <w:top w:w="75" w:type="dxa"/>
              <w:left w:w="75" w:type="dxa"/>
              <w:bottom w:w="75" w:type="dxa"/>
              <w:right w:w="75" w:type="dxa"/>
            </w:tcMar>
            <w:vAlign w:val="center"/>
          </w:tcPr>
          <w:p w14:paraId="624AE8CD" w14:textId="63EC2A67" w:rsidR="00EF6971" w:rsidRPr="00AF7DC5" w:rsidRDefault="00AA7FC3">
            <w:pPr>
              <w:jc w:val="left"/>
            </w:pPr>
            <w:r w:rsidRPr="00AF7DC5">
              <w:t>Latvijas Darba devēju konfederācija</w:t>
            </w:r>
          </w:p>
        </w:tc>
        <w:tc>
          <w:tcPr>
            <w:tcW w:w="5806" w:type="dxa"/>
            <w:shd w:val="clear" w:color="auto" w:fill="FFFFFF" w:themeFill="background1"/>
            <w:noWrap/>
            <w:tcMar>
              <w:top w:w="75" w:type="dxa"/>
              <w:left w:w="75" w:type="dxa"/>
              <w:bottom w:w="75" w:type="dxa"/>
              <w:right w:w="75" w:type="dxa"/>
            </w:tcMar>
            <w:vAlign w:val="center"/>
          </w:tcPr>
          <w:p w14:paraId="6ED1F79B" w14:textId="77777777" w:rsidR="00EF6971" w:rsidRPr="00AF7DC5" w:rsidRDefault="00AA7FC3" w:rsidP="00497907">
            <w:r w:rsidRPr="00AF7DC5">
              <w:t>Latvijas Darba devēju konfederācija (turpmāk - LDDK), izvērtējot sabiedriskajā apspriešanā izsludināto likumprojektu "Grozījumi likumā "Par zemes dzīlēm"" (Grozījumi), sniedz zemāk norādītos iebildumus un priekšlikumus par sagatavotajiem Grozījumiem.</w:t>
            </w:r>
            <w:r w:rsidRPr="00AF7DC5">
              <w:br/>
            </w:r>
            <w:r w:rsidRPr="00AF7DC5">
              <w:br/>
              <w:t>1. LDDK vispirms vēlas atzīmēt, ka likumā "Par zemes dzīlēm" (Likums) netiek risināts jautājums par VSIA “Latvijas Vides ģeoloģijas un meteoroloģijas centrs” krājumu akceptēšanas komisijas lēmumu apstrīdēšanu un šajos Grozījumos tas arī nav darīts. LDDK vērtē krājumu komisijas lēmumu kā administratīvo aktu, ar kuru personai tiek radītas tiesiskas sekas- lēmums izsniegt vai neizsniegt licenci derīgo izrakteņu ieguvei. Līdz ar to šim lēmumam jābūt apstrīdamam, turklāt tai jābūt speciālistu ģeologu diskusijai, nevis formālai procedūras izvērtēšanai.</w:t>
            </w:r>
            <w:r w:rsidRPr="00AF7DC5">
              <w:br/>
              <w:t>LDDK lūdz papildināt Grozījumus un iekļaut pārsūdzības kārtību un aicina Vides aizsardzības un reģionālās attīstības ministriju par pārsūdzības iestādi noteikt kādu no tās padotības iestādēm, piem. Valsts vides dienestu.</w:t>
            </w:r>
            <w:r w:rsidRPr="00AF7DC5">
              <w:br/>
            </w:r>
            <w:r w:rsidRPr="00AF7DC5">
              <w:br/>
              <w:t xml:space="preserve">2. LDDK ieskatā Likuma 9.panta 7.punkta grozījumi pēc būtības nav nepieciešami, tā kā Likuma 13.pants jau paredz Zemes izmantotāja </w:t>
            </w:r>
            <w:r w:rsidRPr="00AF7DC5">
              <w:lastRenderedPageBreak/>
              <w:t>tiesības un šī panta 4. un 5. punkts dod tiesības iniciēt licences pārskatīšanu arī ārpus likuma 9.panta noteiktajiem termiņiem:</w:t>
            </w:r>
            <w:r w:rsidRPr="00AF7DC5">
              <w:br/>
              <w:t>4) ierosināt atļaujas vai licences izsniedzējam pārskatīt atļaujā vai licencē norādītos nosacījumus, ja zemes dzīļu izmantošanas gaitā atklājas apstākļi, kas būtiski atšķiras no atļaujā vai licencē norādītajiem;</w:t>
            </w:r>
            <w:r w:rsidRPr="00AF7DC5">
              <w:br/>
              <w:t>5) saņemt atļaujas vai licences termiņa pagarinājumu vai jaunu atļauju vai licenci, ja ir pienācīgi pildīti iepriekšējās atļaujas vai licences nosacījumi un ja to pieļauj ar zemes īpašnieku vai pilnvaroto personu noslēgtais zemes dzīļu izmantošanas līgums.</w:t>
            </w:r>
            <w:r w:rsidRPr="00AF7DC5">
              <w:br/>
              <w:t>Šādas papildu kārtības izveide būtiski palielinātu administratīvo slogu, kā arī dublētu prasības par atļaujas izsniegšanu. Tādejādi šāda pieeja pilnībā neatbilst “Nulles birokrātijas principam”.</w:t>
            </w:r>
            <w:r w:rsidRPr="00AF7DC5">
              <w:br/>
              <w:t>Līdz ar ko arī anotācijā norādītais neatspoguļo faktisko situāciju.</w:t>
            </w:r>
            <w:r w:rsidRPr="00AF7DC5">
              <w:br/>
              <w:t>LDDK ierosina atstāt pantu esošajā redakcijā.</w:t>
            </w:r>
            <w:r w:rsidRPr="00AF7DC5">
              <w:br/>
              <w:t>3. Ar Grozījumu 8. pantu tiek izteikta jaunā redakcijā Likuma 10. panta 11.daļa, par ko LDDK izsaka šādus priekšlikumus:</w:t>
            </w:r>
            <w:r w:rsidRPr="00AF7DC5">
              <w:br/>
              <w:t xml:space="preserve">              3.1.minētās daļas redakcijā izmantots formulējums- “paredzētajā licences derīgo izrakteņu ieguvei laukumā”, kurā vārds “paredzētajā” rada neskaidrības. Nav skaidrs- kurā </w:t>
            </w:r>
            <w:r w:rsidRPr="00AF7DC5">
              <w:lastRenderedPageBreak/>
              <w:t>no zemes dzīļu apguves procesa etapiem licences laukums ir “paredzēts”? Turklāt Grozījumu anotācijā attiecībā uz šo jēdzienu ir izmantots vārds “plānotajā”.</w:t>
            </w:r>
            <w:r w:rsidRPr="00AF7DC5">
              <w:br/>
              <w:t>LDDK lūdz šo formulējumu Grozījumos precizēt, lai Likumu piemērojot, tas būtu viennozīmīgs un saprotams.</w:t>
            </w:r>
            <w:r w:rsidRPr="00AF7DC5">
              <w:br/>
              <w:t>              3.2. Minētajā daļa ietvertā prasība veikt derīgo izrakteņu krājumu akceptēšanu licences laukumā spēkā esošām licencēm, gadījumā, ja krājumu akceptēšanas laukums atšķiras no licences laukuma, ir pretrunā ar šo Grozījumu mērķi - vienkāršot administratīvās procedūras zemes dzīļu izmantošanas jomā. Tā ir arī pretrunā ar tiesiskās paļāvības principu. Komersants ir izpildījis normatīvajos aktos noteiktās prasības un saņēmis licenci. Turklāt vēršam uzmanību, ka minēto prasību var attiecināt tikai uz jaunām licencēm, bet ne jau izsniegtajām, kā dēļ nepieciešams pārejas noteikums.</w:t>
            </w:r>
            <w:r w:rsidRPr="00AF7DC5">
              <w:br/>
              <w:t>LDDK lūdz attiecībā uz nosacījumu- “Derīgos izrakteņus, izņemot ogļūdeņražus un pazemes ūdeņus, iegūst, ja ir akceptēti derīgo izrakteņu krājumi paredzētajā licences derīgo izrakteņu ieguvei laukumā” Grozījumus papildināt ar pārejas noteikumu, kas nosaka, ka šī norma attieksies uz licencēm, kas izsniegtas pēc 2023. gada 1. jūlija.</w:t>
            </w:r>
            <w:r w:rsidRPr="00AF7DC5">
              <w:br/>
              <w:t>.</w:t>
            </w:r>
            <w:r w:rsidRPr="00AF7DC5">
              <w:br/>
            </w:r>
            <w:r w:rsidRPr="00AF7DC5">
              <w:lastRenderedPageBreak/>
              <w:t>              3.3. Pašlaik spēkā esošie Ministru kabineta 2012.gada 21.augusta noteikumi Nr.570 “Derīgo izrakteņu ieguves kārtība” (turpmāk – noteikumi Nr. 570), kas izdoti uz Likumā jau esošā deleģējuma pamata, jau nosaka projekta saturu (37. - 44.punkts). Noteikumi Nr. 570 attiecas uz visiem derīgo izrakteņu ieguvei nepieciešamajiem darbu etapiem: ģeoloģisko izpēti, pārskata saskaņošanu, projekta izstrādi un saskaņošanu, ieguves vietas sagatavošanu, iegūto derīgo izrakteņu uzskaiti, rekultivāciju. Visas šīs darbības jāveic atbilstoši noteikumiem Nr. 570, bet tām nav īpaša deleģējumu un tās nav atsevišķi uzsvērtas Likumā ar norādi uz Ministra kabineta izstrādātu kārtību. Nav izprotams kā dēļ minētajā daļā tiek dots jauns deleģējums Ministru kabineta noteikumiem, kas noteiks ieguves projekta saturu. Nepieciešamības gadījumā ir iespējams Noteikumus Nr. 570 papildināt un grozīt vai izdot jaunā redakcijā, taču nav pieļaujams Likumā izcelt vienu no ar ieguvi saistīto darbu etapiem, kas radīs pārpratumus.</w:t>
            </w:r>
            <w:r w:rsidRPr="00AF7DC5">
              <w:br/>
              <w:t>LDDK ierosina no Likuma 10. panta vienpadsmitās daļas jaunās redakcijas izslēgt vārdus - “Ministru kabineta noteiktajam saturam atbilstoši”.</w:t>
            </w:r>
            <w:r w:rsidRPr="00AF7DC5">
              <w:br/>
              <w:t xml:space="preserve">4. LDDK vērš uzmanību uz Latvijas Republikas satversmē nostiprināto nevainīguma prezumpciju un samērīguma principu, kas netiek ievēroti </w:t>
            </w:r>
            <w:r w:rsidRPr="00AF7DC5">
              <w:lastRenderedPageBreak/>
              <w:t>Likuma 10.panta 1.1 daļas 11.2 un  11.3punktos. Nav samērīgi piemērot atbildību fiziskai personai, par juridiskas personas izdarītiem pārkāpumiem, turklāt, ja šī persona, kā juridiskas personas dalībnieks vai pārvaldes institūcijas darbinieks vai pārstāvis nav saukta pie atbildības par pierādītiem pārkāpumiem. Šeit arī vēršam uzmanību, ka dažādu juridisku personu iekšējo struktūru vadītāji un atbildīgās amatpersonas var būt minētajā normā ietvertās amatpersonas taču faktiski iekšējas darba organizācijas rezultātā tai ir nodalīta kompetence un minētā amatpersona nevar ietekmēt juridiskas personas rīcību un veiktā pārkāpuma izdarīšanu.</w:t>
            </w:r>
            <w:r w:rsidRPr="00AF7DC5">
              <w:br/>
              <w:t>LDDK ierosina papildināt Grozījumu redakcijas:</w:t>
            </w:r>
            <w:r w:rsidRPr="00AF7DC5">
              <w:br/>
              <w:t>1) 11.2 punktu papildināt ar piebildi, “ja tā kompetencē ir bijusi lēmuma pieņemšana par derīgo izrakteņu ieguvi”;</w:t>
            </w:r>
            <w:r w:rsidRPr="00AF7DC5">
              <w:br/>
              <w:t>2) 11.3 punktā aiz vārdiem “juridiskai personai, ja tās amatpersona” papildināt ar vārdiem ”kuras kompetencē ir lēmuma pieņemšana par derīgo izrakteņu ieguvi”.</w:t>
            </w:r>
            <w:r w:rsidRPr="00AF7DC5">
              <w:br/>
              <w:t xml:space="preserve">5. Zemes dzīļu izmantošana gandrīz vienmēr notiek licences laukumā, derīgo izrakteņu ieguve var notikt tikai un vienīgi licences laukumā. Kūdras ieguves gadījumā dažkārt ar ieguvi saistītām darbībām izmanto teritoriju ārpus licences laukuma (piemēram, celmu, izraktās grunts glabāšana). Tādā gadījumā tas ir norādīts </w:t>
            </w:r>
            <w:r w:rsidRPr="00AF7DC5">
              <w:lastRenderedPageBreak/>
              <w:t>derīgo izrakteņu ieguves projektā. Zemes dzīļu izmantotāja pienākums ir rekultivēt šīs platības, bet viņam nevar uzlikt pienākumu rekultivēt jebko, kas kāda ieskatā varētu būt saistīts ar ieguvi, kā to pieļauj pašlaik likumprojektā iekļautā redakcija.</w:t>
            </w:r>
            <w:r w:rsidRPr="00AF7DC5">
              <w:br/>
              <w:t>Turklāt anotācijā minētajos gadījumos veiktās darbības nevar būt saistītas ar kaitējumu, kas radies atbilstoši veicot ieguvi paredzētajā kārtībā un apjomā. Trešajām pusēm nodarītais kaitējums, ja tāds ir radies pierādāmu, apzinātu darbību rezultātā būtu uzskatāms par kaitējumu, kas izdarīts pret citas personas mantu vai dabu un pierādāms atbilstošā tiesiskā procesā, bet nevar tikt uzlikts par pienākumu, bez pierādījumiem kompensēt piemēram bojātu autoceļu, kurš nolietojies dabiskas ekspluatācijas gaitā. Tāpat arī pirms ieguves darbību uzsākšanu transporta plūsmas tiek izvērtētas un visas transporta vienības, lai piedalītos ceļu satiksmē ir bijušas atbilstošas normatīvajiem aktiem, bet iespējams autoceļa uzturētājs nav pienācīgi veicis uzturēšanas darbus, kā rezultātā rodas autoceļa bojājumi.</w:t>
            </w:r>
            <w:r w:rsidRPr="00AF7DC5">
              <w:br/>
              <w:t>Ņemot vērā minēto Likuma 14. panta 8. punkta jaunā redakcija nav atbalstāma.</w:t>
            </w:r>
            <w:r w:rsidRPr="00AF7DC5">
              <w:br/>
              <w:t> LDDK ierosina Likuma 14.panta 8.punktu izteikt šādā redakcijā:</w:t>
            </w:r>
            <w:r w:rsidRPr="00AF7DC5">
              <w:br/>
              <w:t xml:space="preserve">“8) uz sava rēķina rekultivēt derīgo izrakteņu ieguves vietu un ar ieguvi saistītās platības licences </w:t>
            </w:r>
            <w:r w:rsidRPr="00AF7DC5">
              <w:lastRenderedPageBreak/>
              <w:t>laukumā un zemes gabala platības, kas izmainītas veicot zemes dzīļu izmantošanu ārpus licences laukuma, ja tas paredzēts derīgo izrakteņu projektā.”</w:t>
            </w:r>
            <w:r w:rsidRPr="00AF7DC5">
              <w:br/>
            </w:r>
            <w:r w:rsidRPr="00AF7DC5">
              <w:br/>
              <w:t>6. Grozījumi paredz izteikt jaunā redakcijā Likuma 16. panta piekto daļu. Tomēr jaunajā redakcijā lietojot vārdu -“objekts” nav skaidrības kas tieši ar to domāts. Iespējams, ka to domāts atļaujas vai licences laukums, vai ieguves vieta.</w:t>
            </w:r>
            <w:r w:rsidRPr="00AF7DC5">
              <w:br/>
              <w:t>LDDK ierosina šādu Likuma 16. panta piektās daļas redakciju: “Ja pašvaldība konstatē pārkāpumus zemes dzīļu izmantošanā vai saņem informāciju par šādiem pārkāpumiem, tā informē Valsts vides dienestu. Ja pārkāpums konstatēts bieži satopamo sastopamo derīgo izrakteņu ieguves atļaujas laukumā, pašvaldība ir tiesīga ierobežot vai apturēt atļaujas darbību vai to atcelt.”</w:t>
            </w:r>
            <w:r w:rsidRPr="00AF7DC5">
              <w:br/>
            </w:r>
            <w:r w:rsidRPr="00AF7DC5">
              <w:br/>
              <w:t xml:space="preserve">7. Anotācijas 1.3.punkta norādīts: “bojājumi var rasties ieguves procesā ārpus konkrētā derīgo izrakteņu ieguves licences laukuma (piemēram, bojājot piebraucamo ceļu, aizsargjoslu, vai no ieguves iekārtām noplūstot degvielai, kas rada piesārņojumu u.c.), …”. Atbildību par autoceļu bojāšanu nosaka Autoceļu likums (30. pants) un Ceļu satiksmes likums (82. pants). Arī pašvaldības var izstrādāt savus saistošos noteikumus. Kas </w:t>
            </w:r>
            <w:r w:rsidRPr="00AF7DC5">
              <w:lastRenderedPageBreak/>
              <w:t>domāts ar aizsargjoslas bojāšanu, nav saprotams, bet atbildību par pārkāpumiem un atbildīgās institūcijas nosaka Aizsargjoslu likums. Jautājumus, kas attiecas uz piesārņojumu regulē attiecīgie normatīvie akti, t.sk. Ministru kabineta noteikumi Nr.281, 24.04.2007., “Noteikumi par preventīvajiem un sanācijas pasākumiem un kārtību, kādā novērtējams kaitējums videi un aprēķināmas preventīvo, neatliekamo un sanācijas pasākumu izmaksas”. Ņemot vērā minēto, nevajadzētu noslogot Likumu ar šo jautājumu risināšanu, turklāt jaunā redakcija neatspoguļo anotācijā minēto.</w:t>
            </w:r>
            <w:r w:rsidRPr="00AF7DC5">
              <w:br/>
              <w:t>LDDK lūdz precizēt anotācijas 1.3. punktā minēto attiecībā uz grozījumiem Likuma 14. panta un 8. punktā.</w:t>
            </w:r>
            <w:r w:rsidRPr="00AF7DC5">
              <w:br/>
            </w:r>
            <w:r w:rsidRPr="00AF7DC5">
              <w:br/>
              <w:t xml:space="preserve">8. Anotācijā norādīts: “Likumprojektā iekļautā redakcija ietver pienākumu, piemēram, atjaunot bojājumus inženierbūvēm, kas ir licences laukumā un izslēgti no ieguves limita aizsargjoslu apjomā, vai ārpus licences laukuma, kas var robežoties ar laukuma robežu; pienākumu atjaunot ūdens ieguves būvju bojājumus, ja ir pierādīts, ka zemes dzīļu izmantošanas rezultātā ūdens ieguve ir pārtraukta vai būtiski mazināta (akas, urbumi ); pienākumu rekultivēt tās platības, kuras ir skartas zemes dzīļu izmantošanas rezultātā, kā licences </w:t>
            </w:r>
            <w:r w:rsidRPr="00AF7DC5">
              <w:lastRenderedPageBreak/>
              <w:t>laukumā tā ārpus tā, ja kaimiņu platībās ir konstatēta ieguve vai tās rezultātā izsaukta erozija; pienākumu rekultivēt tās platības, kur nav veikta zemes dzīļu ieguve, bet ir notikuši sagatavošanās darbi (noņemta augsne, zemsedze, bojāts reljefs un virszemes ūdens notece).” Vārdi “izslēgti no ieguves limita aizsargjoslu apjomā” šajā gadījumā ir lieki, jo no limita noteikšanas atsakās un pienākumam veikt rekultivāciju nav sakara ar limitu.</w:t>
            </w:r>
            <w:r w:rsidRPr="00AF7DC5">
              <w:br/>
              <w:t>LDDK ierosina precizēt anotācijas redakciju.</w:t>
            </w:r>
            <w:r w:rsidRPr="00AF7DC5">
              <w:br/>
              <w:t>9. Vēršam uzmanību, ja ūdens ieguves būvē (saskaņā ar Likumu – ūdens ieguves urbums vai grodu aka) vairs nepietek ūdens, tas nav uzskatāms par  “ieguves būvju bojājumu”. Jautājumu par derīgo izrakteņu ieguves ietekmi uz pazemes ūdens resursiem var risināt ar pazemes ūdens monitoringu, kam arī jāsaņem licence. Šajā gadījumā var veikt kompensējošo pasākumus saskaņā ar ieguves licences nosacījumiem (piemēram ierīkot jaunu ūdens ieguves urbumu, ja tiešām pierādīts, ka ūdens pietrūkst ieguves dēļ), bet tā nebūs “ūdens ieguves būvju bojājumu” atjaunošana.</w:t>
            </w:r>
            <w:r w:rsidRPr="00AF7DC5">
              <w:br/>
              <w:t xml:space="preserve">LDDK ierosina anotācijas sadaļu 4.1.5. attiecībā uz Ministru kabineta noteikumiem Nr. 570 “Derīgo izrakteņu ieguves kārtība” papildināt ar informāciju, ka Ministru kabineta noteikumos </w:t>
            </w:r>
            <w:r w:rsidRPr="00AF7DC5">
              <w:lastRenderedPageBreak/>
              <w:t>jānosaka krājumu akceptēšanas pamatprincipi – ka komisijas sēdes ir atklātas, ka abām pusēm ir tiesības uzaicināt ekspertus un, iespējams, citus nosacījumus.</w:t>
            </w:r>
            <w:r w:rsidRPr="00AF7DC5">
              <w:br/>
            </w:r>
            <w:r w:rsidRPr="00AF7DC5">
              <w:br/>
            </w:r>
            <w:r w:rsidRPr="00AF7DC5">
              <w:br/>
              <w:t>minētā amatā, bet ir ar iekšēji nodalītu kompetenci, kura nedz nes, nedz spēj ietekmēt juridiskas personas veiktā pārkāpuma faktu.</w:t>
            </w:r>
            <w:r w:rsidRPr="00AF7DC5">
              <w:br/>
            </w:r>
          </w:p>
        </w:tc>
        <w:tc>
          <w:tcPr>
            <w:tcW w:w="1350" w:type="dxa"/>
            <w:shd w:val="clear" w:color="auto" w:fill="FFFFFF" w:themeFill="background1"/>
            <w:noWrap/>
            <w:tcMar>
              <w:top w:w="75" w:type="dxa"/>
              <w:left w:w="75" w:type="dxa"/>
              <w:bottom w:w="75" w:type="dxa"/>
              <w:right w:w="75" w:type="dxa"/>
            </w:tcMar>
          </w:tcPr>
          <w:p w14:paraId="0814EE2C" w14:textId="0C2DCCD4" w:rsidR="00EF6971" w:rsidRPr="00AF7DC5" w:rsidRDefault="00800E8E" w:rsidP="00497907">
            <w:r>
              <w:lastRenderedPageBreak/>
              <w:t>Daļēji ņemts vērā.</w:t>
            </w:r>
          </w:p>
        </w:tc>
        <w:tc>
          <w:tcPr>
            <w:tcW w:w="4156" w:type="dxa"/>
            <w:shd w:val="clear" w:color="auto" w:fill="FFFFFF" w:themeFill="background1"/>
            <w:noWrap/>
            <w:tcMar>
              <w:top w:w="75" w:type="dxa"/>
              <w:left w:w="75" w:type="dxa"/>
              <w:bottom w:w="75" w:type="dxa"/>
              <w:right w:w="75" w:type="dxa"/>
            </w:tcMar>
          </w:tcPr>
          <w:p w14:paraId="652F31C3" w14:textId="19AE0D5C" w:rsidR="00EF6971" w:rsidRPr="00AF7DC5" w:rsidRDefault="00E41F54" w:rsidP="00497907">
            <w:r w:rsidRPr="00AF7DC5">
              <w:t>1.</w:t>
            </w:r>
            <w:r w:rsidR="00D16A29" w:rsidRPr="00AF7DC5">
              <w:t xml:space="preserve"> Sk. </w:t>
            </w:r>
            <w:r w:rsidR="002E2AE2" w:rsidRPr="00AF7DC5">
              <w:t xml:space="preserve">komentāru </w:t>
            </w:r>
            <w:r w:rsidR="00ED7DB3" w:rsidRPr="00AF7DC5">
              <w:t>pie Latvijas Kūdras asociācijas atzinuma 1.</w:t>
            </w:r>
            <w:r w:rsidR="002E2AE2" w:rsidRPr="00AF7DC5">
              <w:t> </w:t>
            </w:r>
            <w:r w:rsidR="00ED7DB3" w:rsidRPr="00AF7DC5">
              <w:t>punkta.</w:t>
            </w:r>
          </w:p>
          <w:p w14:paraId="4435CE0E" w14:textId="4851CA44" w:rsidR="00E41F54" w:rsidRPr="00AF7DC5" w:rsidRDefault="00E41F54" w:rsidP="00497907">
            <w:r w:rsidRPr="00AF7DC5">
              <w:t>2.</w:t>
            </w:r>
            <w:r w:rsidR="00871D77" w:rsidRPr="00AF7DC5">
              <w:t xml:space="preserve"> VARAM ieskatā </w:t>
            </w:r>
            <w:r w:rsidR="00032D4F" w:rsidRPr="00AF7DC5">
              <w:t>Likumprojektā ietvertais Likuma 9. panta pirmās daļas 7. punkta regulējums ne</w:t>
            </w:r>
            <w:r w:rsidR="004075C2" w:rsidRPr="00AF7DC5">
              <w:t>palielina administratīvo slogu, jo papildu slogs netiek uzlikts – jau šobrīd spēkā esošajā Likuma 9. panta pirmās daļas 7. punkta regulējums paredz</w:t>
            </w:r>
            <w:r w:rsidR="00324393" w:rsidRPr="00AF7DC5">
              <w:t xml:space="preserve"> nosacījumus licences pārskatīšanai </w:t>
            </w:r>
            <w:r w:rsidR="00717E75" w:rsidRPr="00AF7DC5">
              <w:t>–</w:t>
            </w:r>
            <w:r w:rsidR="00324393" w:rsidRPr="00AF7DC5">
              <w:t xml:space="preserve"> </w:t>
            </w:r>
            <w:r w:rsidR="00717E75" w:rsidRPr="00AF7DC5">
              <w:t>klāt nāk tikai deleģējums noteikt kārtību licences pārskatīšanai,</w:t>
            </w:r>
            <w:r w:rsidR="00D61520" w:rsidRPr="00AF7DC5">
              <w:t xml:space="preserve"> kas ir normāla prakse jebkuram procesam valsts pārvaldē.</w:t>
            </w:r>
            <w:r w:rsidR="00324393" w:rsidRPr="00AF7DC5">
              <w:t xml:space="preserve"> </w:t>
            </w:r>
          </w:p>
          <w:p w14:paraId="1F66BB25" w14:textId="77777777" w:rsidR="00E41F54" w:rsidRPr="00AF7DC5" w:rsidRDefault="00E41F54" w:rsidP="00497907">
            <w:r w:rsidRPr="00AF7DC5">
              <w:t>3.</w:t>
            </w:r>
          </w:p>
          <w:p w14:paraId="4FD12EE7" w14:textId="005D96DE" w:rsidR="00E41F54" w:rsidRPr="00AF7DC5" w:rsidRDefault="00E41F54" w:rsidP="00497907">
            <w:r w:rsidRPr="00AF7DC5">
              <w:t>3.1.</w:t>
            </w:r>
            <w:r w:rsidR="003521D8" w:rsidRPr="00AF7DC5">
              <w:t xml:space="preserve"> Sk. </w:t>
            </w:r>
            <w:r w:rsidR="002E2AE2" w:rsidRPr="00AF7DC5">
              <w:t>komentāru</w:t>
            </w:r>
            <w:r w:rsidR="003521D8" w:rsidRPr="00AF7DC5">
              <w:t xml:space="preserve"> pie Latvijas Kūdras asociācijas atzinuma 2.1. punkta.</w:t>
            </w:r>
          </w:p>
          <w:p w14:paraId="47CC3D11" w14:textId="059C5D95" w:rsidR="00E41F54" w:rsidRPr="00AF7DC5" w:rsidRDefault="00E41F54" w:rsidP="00497907">
            <w:r w:rsidRPr="00AF7DC5">
              <w:t>3.2.</w:t>
            </w:r>
            <w:r w:rsidR="0086330F" w:rsidRPr="00AF7DC5">
              <w:t xml:space="preserve"> Sk. </w:t>
            </w:r>
            <w:r w:rsidR="002E2AE2" w:rsidRPr="00AF7DC5">
              <w:t>komentāru</w:t>
            </w:r>
            <w:r w:rsidR="0086330F" w:rsidRPr="00AF7DC5">
              <w:t xml:space="preserve"> pie Latvijas Kūdras asociācijas atzinuma 2.2. punkta.</w:t>
            </w:r>
          </w:p>
          <w:p w14:paraId="40A23A63" w14:textId="14D6DABC" w:rsidR="00E41F54" w:rsidRPr="00AF7DC5" w:rsidRDefault="00E41F54" w:rsidP="00497907">
            <w:r w:rsidRPr="00AF7DC5">
              <w:t>3.3.</w:t>
            </w:r>
            <w:r w:rsidR="0086330F" w:rsidRPr="00AF7DC5">
              <w:t xml:space="preserve"> Sk. </w:t>
            </w:r>
            <w:r w:rsidR="002E2AE2" w:rsidRPr="00AF7DC5">
              <w:t>komentāru</w:t>
            </w:r>
            <w:r w:rsidR="0086330F" w:rsidRPr="00AF7DC5">
              <w:t xml:space="preserve"> pie Latvijas Kūdras asociācijas atzinuma 2.3. punkta.</w:t>
            </w:r>
          </w:p>
          <w:p w14:paraId="05E98BD9" w14:textId="3D0A92CA" w:rsidR="00E41F54" w:rsidRPr="00D4690E" w:rsidRDefault="00E41F54" w:rsidP="00497907">
            <w:r w:rsidRPr="00AF7DC5">
              <w:t>4.</w:t>
            </w:r>
            <w:r w:rsidR="00E7072E" w:rsidRPr="00AF7DC5">
              <w:t xml:space="preserve"> </w:t>
            </w:r>
            <w:r w:rsidR="00E61BC8">
              <w:t>Daļēji ņ</w:t>
            </w:r>
            <w:r w:rsidR="00E7072E" w:rsidRPr="00AF7DC5">
              <w:t>emts vērā.</w:t>
            </w:r>
            <w:r w:rsidR="00032DE3">
              <w:t xml:space="preserve"> Attiecībā uz priekšlikumu </w:t>
            </w:r>
            <w:r w:rsidR="00D4690E">
              <w:t>par 11.</w:t>
            </w:r>
            <w:r w:rsidR="00D4690E">
              <w:rPr>
                <w:vertAlign w:val="superscript"/>
              </w:rPr>
              <w:t>3</w:t>
            </w:r>
            <w:r w:rsidR="00D4690E">
              <w:t xml:space="preserve">apakšpunktu, </w:t>
            </w:r>
            <w:r w:rsidR="00D4690E">
              <w:lastRenderedPageBreak/>
              <w:t xml:space="preserve">norādām, ka esošā redakcija jau šobrīd nepārprotami noteic, ka amatpersona, kuras vadībā uzņēmums veic ieguvi, arī atbild par lēmumiem </w:t>
            </w:r>
            <w:r w:rsidR="003C7C81">
              <w:t>kā vadība.</w:t>
            </w:r>
          </w:p>
          <w:p w14:paraId="36655B6D" w14:textId="4B049800" w:rsidR="00E41F54" w:rsidRPr="00AF7DC5" w:rsidRDefault="00E41F54" w:rsidP="00497907">
            <w:r w:rsidRPr="00AF7DC5">
              <w:t>5.</w:t>
            </w:r>
            <w:r w:rsidR="00785B5F" w:rsidRPr="00AF7DC5">
              <w:t xml:space="preserve"> Sk. </w:t>
            </w:r>
            <w:r w:rsidR="002E2AE2" w:rsidRPr="00AF7DC5">
              <w:t>komentāru</w:t>
            </w:r>
            <w:r w:rsidR="00785B5F" w:rsidRPr="00AF7DC5">
              <w:t xml:space="preserve"> pie Latvijas Kūdras asociācijas atzinuma 3. punkta.</w:t>
            </w:r>
          </w:p>
          <w:p w14:paraId="2CFCCDB0" w14:textId="0804237A" w:rsidR="00E41F54" w:rsidRPr="00AF7DC5" w:rsidRDefault="00E41F54" w:rsidP="00497907">
            <w:r w:rsidRPr="00AF7DC5">
              <w:t>6.</w:t>
            </w:r>
            <w:r w:rsidR="00C65D43" w:rsidRPr="00AF7DC5">
              <w:t xml:space="preserve"> Sk. </w:t>
            </w:r>
            <w:r w:rsidR="002E2AE2" w:rsidRPr="00AF7DC5">
              <w:t>komentāru</w:t>
            </w:r>
            <w:r w:rsidR="00C65D43" w:rsidRPr="00AF7DC5">
              <w:t xml:space="preserve"> pie Latvijas Kūdras asociācijas atzinuma 4. punkta.</w:t>
            </w:r>
          </w:p>
          <w:p w14:paraId="24D51BD9" w14:textId="3653EF23" w:rsidR="00E41F54" w:rsidRPr="00AF7DC5" w:rsidRDefault="00E41F54" w:rsidP="00497907">
            <w:r w:rsidRPr="00AF7DC5">
              <w:t>7.</w:t>
            </w:r>
            <w:r w:rsidR="00B327C3" w:rsidRPr="00AF7DC5">
              <w:t xml:space="preserve"> Sk. </w:t>
            </w:r>
            <w:r w:rsidR="002E2AE2" w:rsidRPr="00AF7DC5">
              <w:t xml:space="preserve">komentāru </w:t>
            </w:r>
            <w:r w:rsidR="00B327C3" w:rsidRPr="00AF7DC5">
              <w:t>pie Latvijas Kūdras asociācijas atzinuma 5. punkta.</w:t>
            </w:r>
          </w:p>
          <w:p w14:paraId="58838CDC" w14:textId="107919F1" w:rsidR="00E41F54" w:rsidRPr="00AF7DC5" w:rsidRDefault="00E41F54" w:rsidP="00497907">
            <w:r w:rsidRPr="00AF7DC5">
              <w:t>8.</w:t>
            </w:r>
            <w:r w:rsidR="00000B6A" w:rsidRPr="00AF7DC5">
              <w:t xml:space="preserve"> Sk. </w:t>
            </w:r>
            <w:r w:rsidR="002E2AE2" w:rsidRPr="00AF7DC5">
              <w:t>komentāru</w:t>
            </w:r>
            <w:r w:rsidR="00000B6A" w:rsidRPr="00AF7DC5">
              <w:t xml:space="preserve"> pie Latvijas Kūdras asociācijas atzinuma 5. punkta.</w:t>
            </w:r>
          </w:p>
          <w:p w14:paraId="2601C103" w14:textId="3A8FB2BD" w:rsidR="00E41F54" w:rsidRPr="00AF7DC5" w:rsidRDefault="00E41F54" w:rsidP="00497907">
            <w:r w:rsidRPr="00AF7DC5">
              <w:t>9.</w:t>
            </w:r>
            <w:r w:rsidR="009309F2" w:rsidRPr="00AF7DC5">
              <w:t xml:space="preserve"> Sk. </w:t>
            </w:r>
            <w:r w:rsidR="002E2AE2" w:rsidRPr="00AF7DC5">
              <w:t>komentāru</w:t>
            </w:r>
            <w:r w:rsidR="009309F2" w:rsidRPr="00AF7DC5">
              <w:t xml:space="preserve"> pie Latvijas Kūdras asociācijas atzinuma 5. punkta.</w:t>
            </w:r>
          </w:p>
        </w:tc>
      </w:tr>
      <w:tr w:rsidR="001878ED" w:rsidRPr="00AF7DC5" w14:paraId="18387CD0" w14:textId="77777777" w:rsidTr="00800E8E">
        <w:tc>
          <w:tcPr>
            <w:tcW w:w="750" w:type="dxa"/>
            <w:shd w:val="clear" w:color="auto" w:fill="FFFFFF" w:themeFill="background1"/>
            <w:noWrap/>
            <w:tcMar>
              <w:top w:w="75" w:type="dxa"/>
              <w:left w:w="75" w:type="dxa"/>
              <w:bottom w:w="75" w:type="dxa"/>
              <w:right w:w="75" w:type="dxa"/>
            </w:tcMar>
            <w:vAlign w:val="center"/>
          </w:tcPr>
          <w:p w14:paraId="69248E12" w14:textId="38C432E4" w:rsidR="001878ED" w:rsidRPr="00AF7DC5" w:rsidRDefault="001878ED">
            <w:pPr>
              <w:jc w:val="center"/>
            </w:pPr>
            <w:r w:rsidRPr="00AF7DC5">
              <w:lastRenderedPageBreak/>
              <w:t>4.</w:t>
            </w:r>
          </w:p>
        </w:tc>
        <w:tc>
          <w:tcPr>
            <w:tcW w:w="2505" w:type="dxa"/>
            <w:shd w:val="clear" w:color="auto" w:fill="FFFFFF" w:themeFill="background1"/>
            <w:noWrap/>
            <w:tcMar>
              <w:top w:w="75" w:type="dxa"/>
              <w:left w:w="75" w:type="dxa"/>
              <w:bottom w:w="75" w:type="dxa"/>
              <w:right w:w="75" w:type="dxa"/>
            </w:tcMar>
            <w:vAlign w:val="center"/>
          </w:tcPr>
          <w:p w14:paraId="3A6B4106" w14:textId="76EC647B" w:rsidR="001878ED" w:rsidRPr="00AF7DC5" w:rsidRDefault="001878ED">
            <w:pPr>
              <w:jc w:val="left"/>
            </w:pPr>
            <w:r w:rsidRPr="00AF7DC5">
              <w:t>Baltijas Ģeologu Asociācija</w:t>
            </w:r>
          </w:p>
        </w:tc>
        <w:tc>
          <w:tcPr>
            <w:tcW w:w="5806" w:type="dxa"/>
            <w:shd w:val="clear" w:color="auto" w:fill="FFFFFF" w:themeFill="background1"/>
            <w:noWrap/>
            <w:tcMar>
              <w:top w:w="75" w:type="dxa"/>
              <w:left w:w="75" w:type="dxa"/>
              <w:bottom w:w="75" w:type="dxa"/>
              <w:right w:w="75" w:type="dxa"/>
            </w:tcMar>
            <w:vAlign w:val="center"/>
          </w:tcPr>
          <w:p w14:paraId="1B12AA2D" w14:textId="77777777" w:rsidR="006E54BD" w:rsidRPr="00AF7DC5" w:rsidRDefault="006E54BD" w:rsidP="006E54BD">
            <w:pPr>
              <w:suppressAutoHyphens/>
              <w:ind w:firstLine="720"/>
              <w:rPr>
                <w:rFonts w:eastAsia="MS Mincho"/>
                <w:bCs/>
                <w:iCs/>
                <w:lang w:eastAsia="ja-JP"/>
              </w:rPr>
            </w:pPr>
            <w:r w:rsidRPr="00AF7DC5">
              <w:rPr>
                <w:rFonts w:eastAsia="MS Mincho"/>
                <w:bCs/>
                <w:iCs/>
                <w:lang w:eastAsia="ja-JP"/>
              </w:rPr>
              <w:t xml:space="preserve">Baltijas ģeologu asociācija (turpmāk – Asociācija) ir iepazinusies ar Vides aizsardzības un reģionālās attīstības ministrijas (turpmāk – VARAM) izstrādāto likumprojektu par "Grozījumiem likumā "Par zemes dzīlēm" (turpmāk – Likumprojekts).  </w:t>
            </w:r>
          </w:p>
          <w:p w14:paraId="36174728" w14:textId="77777777" w:rsidR="006E54BD" w:rsidRPr="00AF7DC5" w:rsidRDefault="006E54BD" w:rsidP="006E54BD">
            <w:pPr>
              <w:suppressAutoHyphens/>
              <w:ind w:firstLine="720"/>
              <w:rPr>
                <w:rFonts w:eastAsia="MS Mincho"/>
                <w:bCs/>
                <w:iCs/>
                <w:lang w:eastAsia="ja-JP"/>
              </w:rPr>
            </w:pPr>
            <w:r w:rsidRPr="00AF7DC5">
              <w:rPr>
                <w:rFonts w:eastAsia="MS Mincho"/>
                <w:bCs/>
                <w:iCs/>
                <w:lang w:eastAsia="ja-JP"/>
              </w:rPr>
              <w:t xml:space="preserve">Lai arī Likumprojekta mērķis ir vienkāršot administratīvās procedūras zemes dzīļu izmantošanas jomā, optimizējot un nodalot iesaistīto institūciju funkcijas zemes dzīļu izmantošanas jomā, mazinot administratīvo slogu zemes dzīļu izmantošanai nepieciešamās dokumentācijas apjomus, Asociācijas ieskatā, pastāv virkne priekšnosacījumu mērķa nesasniegšanai, neveicot precizējumus Likumprojekta esošajā redakcijā. Asociācijas </w:t>
            </w:r>
            <w:r w:rsidRPr="00AF7DC5">
              <w:rPr>
                <w:rFonts w:eastAsia="MS Mincho"/>
                <w:bCs/>
                <w:iCs/>
                <w:lang w:eastAsia="ja-JP"/>
              </w:rPr>
              <w:lastRenderedPageBreak/>
              <w:t>sniegtie priekšlikumi Likumprojekta pilnveidošanai:</w:t>
            </w:r>
          </w:p>
          <w:p w14:paraId="361195F6" w14:textId="77777777" w:rsidR="006E54BD" w:rsidRPr="00AF7DC5" w:rsidRDefault="006E54BD" w:rsidP="006E54BD">
            <w:pPr>
              <w:pStyle w:val="ListParagraph"/>
              <w:numPr>
                <w:ilvl w:val="0"/>
                <w:numId w:val="2"/>
              </w:numPr>
              <w:suppressAutoHyphens/>
              <w:rPr>
                <w:rFonts w:eastAsia="MS Mincho"/>
                <w:bCs/>
                <w:iCs/>
                <w:lang w:eastAsia="ja-JP"/>
              </w:rPr>
            </w:pPr>
            <w:r w:rsidRPr="00AF7DC5">
              <w:rPr>
                <w:rFonts w:eastAsia="MS Mincho"/>
                <w:bCs/>
                <w:iCs/>
                <w:lang w:eastAsia="ja-JP"/>
              </w:rPr>
              <w:t>Likumprojektā ģeoekoloģiskā izpēte tiek skaidrota kā "ģeoekoloģiskā izpēte – izpēte, kuras mērķis ir iegūt informāciju par noteiktas teritorijas piesārņojuma līmeni un izplatību, kā arī izstrādāt rekomendācijas piesārņojuma likvidācijai".  Saskaņā ar esošo kārtību, zemes dzīļu izmantotājs vēršas VVD ģeoloģiskās izpētes licences saņemšanai un, pēc izpētes pabeigšanas, LVĢMC akceptē derīgo izrakteņu krājumus. Rekomendāciju izstrāde piesārņojuma likvidācijai nozīmē esošās kārtības papildināšanu ar potenciālā piesārņojuma priekšizpēti, piesārņojuma apjoma un izkliedes modelēšanu,kā arī rekomendāciju izstrādāšanu, ko drīkst izstrādāt tikai licencēti speciālisti, kas nozīmē ģeoekoloģiskās izpētes sadārdzināšanos bez būtiska pamatojuma ieviesr rekomendāciju izstrādāšanu kā obligātu normu. Piesārņoto vai potenciāli piesārņoto vietu sanācija nav automātiski iekļaujama derīgo izrakteņu ieguves darbos.</w:t>
            </w:r>
          </w:p>
          <w:p w14:paraId="5BB2BC55" w14:textId="77777777" w:rsidR="006E54BD" w:rsidRPr="00AF7DC5" w:rsidRDefault="006E54BD" w:rsidP="006E54BD">
            <w:pPr>
              <w:pStyle w:val="ListParagraph"/>
              <w:suppressAutoHyphens/>
              <w:rPr>
                <w:rFonts w:eastAsia="MS Mincho"/>
                <w:bCs/>
                <w:iCs/>
                <w:lang w:eastAsia="ja-JP"/>
              </w:rPr>
            </w:pPr>
            <w:r w:rsidRPr="00AF7DC5">
              <w:rPr>
                <w:rFonts w:eastAsia="MS Mincho"/>
                <w:bCs/>
                <w:iCs/>
                <w:u w:val="single"/>
                <w:lang w:eastAsia="ja-JP"/>
              </w:rPr>
              <w:t>Priekšlikums:</w:t>
            </w:r>
            <w:r w:rsidRPr="00AF7DC5">
              <w:rPr>
                <w:rFonts w:eastAsia="MS Mincho"/>
                <w:bCs/>
                <w:iCs/>
                <w:lang w:eastAsia="ja-JP"/>
              </w:rPr>
              <w:t xml:space="preserve"> terminu izteikt sekojošā redakcijā: "ģeoekoloģiskā izpēte – izpēte, kuras mērķis ir iegūt informāciju par </w:t>
            </w:r>
            <w:r w:rsidRPr="00AF7DC5">
              <w:rPr>
                <w:rFonts w:eastAsia="MS Mincho"/>
                <w:bCs/>
                <w:iCs/>
                <w:lang w:eastAsia="ja-JP"/>
              </w:rPr>
              <w:lastRenderedPageBreak/>
              <w:t xml:space="preserve">noteiktas teritorijas piesārņojuma līmeni un izplatību";  </w:t>
            </w:r>
          </w:p>
          <w:p w14:paraId="72EFEB08" w14:textId="77777777" w:rsidR="006E54BD" w:rsidRPr="00AF7DC5" w:rsidRDefault="006E54BD" w:rsidP="006E54BD">
            <w:pPr>
              <w:suppressAutoHyphens/>
              <w:ind w:firstLine="720"/>
              <w:rPr>
                <w:rFonts w:eastAsia="MS Mincho"/>
                <w:bCs/>
                <w:iCs/>
                <w:lang w:eastAsia="ja-JP"/>
              </w:rPr>
            </w:pPr>
          </w:p>
          <w:p w14:paraId="79189028" w14:textId="77777777" w:rsidR="006E54BD" w:rsidRPr="00AF7DC5" w:rsidRDefault="006E54BD" w:rsidP="006E54BD">
            <w:pPr>
              <w:pStyle w:val="ListParagraph"/>
              <w:numPr>
                <w:ilvl w:val="0"/>
                <w:numId w:val="2"/>
              </w:numPr>
              <w:suppressAutoHyphens/>
              <w:rPr>
                <w:rFonts w:eastAsia="MS Mincho"/>
                <w:bCs/>
                <w:iCs/>
                <w:lang w:eastAsia="ja-JP"/>
              </w:rPr>
            </w:pPr>
            <w:r w:rsidRPr="00AF7DC5">
              <w:rPr>
                <w:rFonts w:eastAsia="MS Mincho"/>
                <w:bCs/>
                <w:iCs/>
                <w:lang w:eastAsia="ja-JP"/>
              </w:rPr>
              <w:t>nepieciešamība ieviest obligātu prasību būvobjektu būvniecības gaitā izmantoto minerālmateriālu piegādes apjomu reģistrēt Būvniecības informācijas sistēmā (turpmāk – BIS), norādot katras piegādes apjomu un sastāvu, minerālmateriālu izcelsmes vietu, derīgo izrakteņu ieguvēju vai minerālmateriālu sagatavotāju, piegādātāju un piegādes adresi (būvobjektu), kā arī dabas resursu aprites izsekojamībai būvniecības procesā (papildināts Likumprojektā 5.pantu ar piekto daļu), nosakot, ka BIS tiek uzturēta informācija par būvniecībā izmantoto dabas resursu izcelsmi un apriti sarežģīs būvniecības projektu iesniegšanas un saskaņošanas procedūru, kas pat 1. un 2. grupas būvēm aizņem vairākus mēnešus. Bez tam, 1. un 2. grupas hidrobūvju būvniecības projektu izstrādāšanai un iesniegšanai BIS</w:t>
            </w:r>
            <w:r w:rsidRPr="00AF7DC5">
              <w:t xml:space="preserve"> </w:t>
            </w:r>
            <w:r w:rsidRPr="00AF7DC5">
              <w:rPr>
                <w:rFonts w:eastAsia="MS Mincho"/>
                <w:bCs/>
                <w:iCs/>
                <w:lang w:eastAsia="ja-JP"/>
              </w:rPr>
              <w:t>spēkā esošais normatīvais regulējums jau nosaka kārtību un derīgo izrakteņu ieguves robežvērtības, kar tiek kontrolētas ar būvprojektos norādīto būvniecības procesā iegūstamo derīgo izrakteņu apjomu (m</w:t>
            </w:r>
            <w:r w:rsidRPr="00AF7DC5">
              <w:rPr>
                <w:rFonts w:eastAsia="MS Mincho"/>
                <w:bCs/>
                <w:iCs/>
                <w:vertAlign w:val="superscript"/>
                <w:lang w:eastAsia="ja-JP"/>
              </w:rPr>
              <w:t>3</w:t>
            </w:r>
            <w:r w:rsidRPr="00AF7DC5">
              <w:rPr>
                <w:rFonts w:eastAsia="MS Mincho"/>
                <w:bCs/>
                <w:iCs/>
                <w:lang w:eastAsia="ja-JP"/>
              </w:rPr>
              <w:t xml:space="preserve">). </w:t>
            </w:r>
            <w:r w:rsidRPr="00AF7DC5">
              <w:rPr>
                <w:rFonts w:eastAsia="MS Mincho"/>
                <w:bCs/>
                <w:iCs/>
                <w:lang w:eastAsia="ja-JP"/>
              </w:rPr>
              <w:lastRenderedPageBreak/>
              <w:t>Nav pamatojuma esošās kārtības papildināšanai ar augstākminētajām prasībām, nav ņemts vērā arī būvdarbu izpildes tehnoloģiskais risinājums, kad derīgie izrakteņi un augsne netiek mehāniski nodalīta no citiem derīgajiem izrakteņiem, ja resursi tiek izmantoti teritorijas labiekārtošanai nevis pārdošanai. Pastāv zema varbūtība neliela apjoma derīgo izrakteņu realizācijai, ja ievēro maza apjoma produkta pārdošanas ekonomisko neizdevīgumu un zemo konkurētspēju.</w:t>
            </w:r>
          </w:p>
          <w:p w14:paraId="3E5F5148" w14:textId="77777777" w:rsidR="006E54BD" w:rsidRPr="00AF7DC5" w:rsidRDefault="006E54BD" w:rsidP="006E54BD">
            <w:pPr>
              <w:pStyle w:val="NormalWeb"/>
              <w:shd w:val="clear" w:color="auto" w:fill="FFFFFF"/>
              <w:spacing w:before="0" w:beforeAutospacing="0" w:after="0" w:afterAutospacing="0"/>
              <w:ind w:left="720"/>
              <w:jc w:val="both"/>
              <w:rPr>
                <w:bCs/>
                <w:shd w:val="clear" w:color="auto" w:fill="FFFFFF"/>
              </w:rPr>
            </w:pPr>
            <w:r w:rsidRPr="00AF7DC5">
              <w:rPr>
                <w:bCs/>
                <w:u w:val="single"/>
                <w:shd w:val="clear" w:color="auto" w:fill="FFFFFF"/>
              </w:rPr>
              <w:t>Priekšlikums:</w:t>
            </w:r>
            <w:r w:rsidRPr="00AF7DC5">
              <w:rPr>
                <w:bCs/>
                <w:shd w:val="clear" w:color="auto" w:fill="FFFFFF"/>
              </w:rPr>
              <w:t xml:space="preserve"> svītrot grozījumus Likumprojekta 21.pantā;</w:t>
            </w:r>
          </w:p>
          <w:p w14:paraId="69BE0FA5" w14:textId="77777777" w:rsidR="006E54BD" w:rsidRPr="00AF7DC5" w:rsidRDefault="006E54BD" w:rsidP="006E54BD">
            <w:pPr>
              <w:pStyle w:val="NormalWeb"/>
              <w:numPr>
                <w:ilvl w:val="0"/>
                <w:numId w:val="2"/>
              </w:numPr>
              <w:shd w:val="clear" w:color="auto" w:fill="FFFFFF"/>
              <w:spacing w:before="0" w:beforeAutospacing="0" w:after="0" w:afterAutospacing="0"/>
              <w:jc w:val="both"/>
              <w:rPr>
                <w:bCs/>
                <w:sz w:val="28"/>
                <w:szCs w:val="28"/>
                <w:shd w:val="clear" w:color="auto" w:fill="FFFFFF"/>
              </w:rPr>
            </w:pPr>
            <w:r w:rsidRPr="00AF7DC5">
              <w:rPr>
                <w:bCs/>
                <w:sz w:val="28"/>
                <w:szCs w:val="28"/>
                <w:shd w:val="clear" w:color="auto" w:fill="FFFFFF"/>
              </w:rPr>
              <w:t xml:space="preserve">nav pieļaujams uzlikt komersantam pienākumu rekultivēt platības, kas ir skartas zemes dzīļu izmantošanas rezultātā, kā licences laukumā tā ārpus tā, ja kaimiņu platībās ir konstatēta ieguve vai tās rezultātā izsaukta erozija, pienākumu rekultivēt tās platības, kur nav veikta zemes dzīļu ieguve, bet ir notikuši sagatavošanas darbi (noņemta augsne, zemsedze, bojāts reljefs un virszemes ūdens notece), kas tiek pamatota ar trešās personas saņemtu sūdzību. Asociācija kategoriski iebilst pret Likumprojekta 13. punktu, jo 14. panta 8. punkts neizslēdz pienākuma uzlikšanu </w:t>
            </w:r>
            <w:r w:rsidRPr="00AF7DC5">
              <w:rPr>
                <w:bCs/>
                <w:sz w:val="28"/>
                <w:szCs w:val="28"/>
                <w:shd w:val="clear" w:color="auto" w:fill="FFFFFF"/>
              </w:rPr>
              <w:lastRenderedPageBreak/>
              <w:t xml:space="preserve">komersantam rekultivēt tās platības, kuras ir ārpus licences laukuma.  Ar plānotajiem grozījumiem tiek veicināta patvaļīga rīcība pret komersantiem, kas strādā derīgo izrakteņu ieguves jomā, automātiski uzskatot tos par tiesību normu pārkāpējiem. Tāpat, var prognozēt kompetentās institūcijas pieņemto lēmumu apstrīdēšanas gadījumu kāpumu, kā arī tiesu sistēmas papildus noslodzi. </w:t>
            </w:r>
          </w:p>
          <w:p w14:paraId="3B6B1AA3" w14:textId="77777777" w:rsidR="006E54BD" w:rsidRPr="00AF7DC5" w:rsidRDefault="006E54BD" w:rsidP="006E54BD">
            <w:pPr>
              <w:pStyle w:val="NormalWeb"/>
              <w:shd w:val="clear" w:color="auto" w:fill="FFFFFF"/>
              <w:ind w:left="720"/>
              <w:jc w:val="both"/>
              <w:rPr>
                <w:bCs/>
                <w:sz w:val="28"/>
                <w:szCs w:val="28"/>
                <w:shd w:val="clear" w:color="auto" w:fill="FFFFFF"/>
              </w:rPr>
            </w:pPr>
            <w:r w:rsidRPr="00AF7DC5">
              <w:rPr>
                <w:bCs/>
                <w:sz w:val="28"/>
                <w:szCs w:val="28"/>
                <w:u w:val="single"/>
                <w:shd w:val="clear" w:color="auto" w:fill="FFFFFF"/>
              </w:rPr>
              <w:t>Priekšlikums:</w:t>
            </w:r>
            <w:r w:rsidRPr="00AF7DC5">
              <w:rPr>
                <w:bCs/>
                <w:sz w:val="28"/>
                <w:szCs w:val="28"/>
                <w:shd w:val="clear" w:color="auto" w:fill="FFFFFF"/>
              </w:rPr>
              <w:t xml:space="preserve"> svītrot grozījumus Likumprojekta 14.panta 8.punktā un saglabāt esošo redakciju: “uz sava rēķina rekultivēt zemes dzīļu izmantošanas rezultātā radušos zemes gabala bojājumus atļaujā vai licencē norādītajā termiņā”;</w:t>
            </w:r>
          </w:p>
          <w:p w14:paraId="16E9B60F" w14:textId="77777777" w:rsidR="006E54BD" w:rsidRPr="00AF7DC5" w:rsidRDefault="006E54BD" w:rsidP="006E54BD">
            <w:pPr>
              <w:pStyle w:val="NormalWeb"/>
              <w:numPr>
                <w:ilvl w:val="0"/>
                <w:numId w:val="2"/>
              </w:numPr>
              <w:shd w:val="clear" w:color="auto" w:fill="FFFFFF"/>
              <w:jc w:val="both"/>
              <w:rPr>
                <w:bCs/>
                <w:sz w:val="28"/>
                <w:szCs w:val="28"/>
                <w:shd w:val="clear" w:color="auto" w:fill="FFFFFF"/>
              </w:rPr>
            </w:pPr>
            <w:r w:rsidRPr="00AF7DC5">
              <w:rPr>
                <w:bCs/>
                <w:sz w:val="28"/>
                <w:szCs w:val="28"/>
                <w:shd w:val="clear" w:color="auto" w:fill="FFFFFF"/>
              </w:rPr>
              <w:t xml:space="preserve">nav pamatojuma piemērot analoģiju ogļūdeņražu meklēšanas, izpētes un ieguves darbiem ar būvniecību (Likumprojekta 10.panta 1.punkts), jo saimnieciskās darbības attiecas uz atšķirīgām saimniecisko darbību statistiskā klasifikācijas grupām - ogļūdeņraži - “Ieguves rūpniecība un karjeru izstrāde”, būvniecība  atbilstošā grupā ar tādu pašu nosakumu. Statistisko datu nepilnība būvniecības jomā nedrīkst  </w:t>
            </w:r>
            <w:r w:rsidRPr="00AF7DC5">
              <w:rPr>
                <w:bCs/>
                <w:sz w:val="28"/>
                <w:szCs w:val="28"/>
                <w:shd w:val="clear" w:color="auto" w:fill="FFFFFF"/>
              </w:rPr>
              <w:lastRenderedPageBreak/>
              <w:t xml:space="preserve">pastiprināt administratīvo slogu citu nozaru komersantiem.  </w:t>
            </w:r>
          </w:p>
          <w:p w14:paraId="1EFA24EF" w14:textId="77777777" w:rsidR="006E54BD" w:rsidRPr="00AF7DC5" w:rsidRDefault="006E54BD" w:rsidP="006E54BD">
            <w:pPr>
              <w:pStyle w:val="NormalWeb"/>
              <w:shd w:val="clear" w:color="auto" w:fill="FFFFFF"/>
              <w:ind w:left="720"/>
              <w:jc w:val="both"/>
              <w:rPr>
                <w:bCs/>
                <w:sz w:val="28"/>
                <w:szCs w:val="28"/>
                <w:shd w:val="clear" w:color="auto" w:fill="FFFFFF"/>
              </w:rPr>
            </w:pPr>
            <w:r w:rsidRPr="00AF7DC5">
              <w:rPr>
                <w:bCs/>
                <w:sz w:val="28"/>
                <w:szCs w:val="28"/>
                <w:u w:val="single"/>
                <w:shd w:val="clear" w:color="auto" w:fill="FFFFFF"/>
              </w:rPr>
              <w:t>Priekšlikumi:</w:t>
            </w:r>
            <w:r w:rsidRPr="00AF7DC5">
              <w:rPr>
                <w:bCs/>
                <w:sz w:val="28"/>
                <w:szCs w:val="28"/>
                <w:shd w:val="clear" w:color="auto" w:fill="FFFFFF"/>
              </w:rPr>
              <w:t xml:space="preserve"> precizēt derīgo izrakteņu veidus, izslēdzot ogļūdeņražus; noteikt pārkāpumu skaitu, izslēdzot atbildīgo amatpersonu subjektīvu vērtējumu pārkāpumu skaitam. Vārds “vairākkārt” jāaizvieto ar skaitlisku vērtību vai jāsvītro.</w:t>
            </w:r>
          </w:p>
          <w:p w14:paraId="3FAA6004" w14:textId="098018D2" w:rsidR="001878ED" w:rsidRPr="00AF7DC5" w:rsidRDefault="006E54BD" w:rsidP="009B259C">
            <w:pPr>
              <w:pStyle w:val="NormalWeb"/>
              <w:shd w:val="clear" w:color="auto" w:fill="FFFFFF"/>
              <w:spacing w:before="0" w:beforeAutospacing="0" w:after="0" w:afterAutospacing="0"/>
              <w:jc w:val="both"/>
              <w:rPr>
                <w:bCs/>
                <w:shd w:val="clear" w:color="auto" w:fill="FFFFFF"/>
              </w:rPr>
            </w:pPr>
            <w:r w:rsidRPr="00AF7DC5">
              <w:rPr>
                <w:bCs/>
                <w:sz w:val="28"/>
                <w:szCs w:val="28"/>
                <w:shd w:val="clear" w:color="auto" w:fill="FFFFFF"/>
              </w:rPr>
              <w:t>Asociācija kategoriski neatbalsta Likumprojekta virzību, lūdz ņemt vērā izteiktos priekšlikumus un informēt par Likumprojekta tālāko virzību. Bez tam, Asociācija lūdz iespēju ņemt dalību Likuprojekta izstrādes tālākajā procedūrā.</w:t>
            </w:r>
          </w:p>
        </w:tc>
        <w:tc>
          <w:tcPr>
            <w:tcW w:w="1350" w:type="dxa"/>
            <w:shd w:val="clear" w:color="auto" w:fill="FFFFFF" w:themeFill="background1"/>
            <w:noWrap/>
            <w:tcMar>
              <w:top w:w="75" w:type="dxa"/>
              <w:left w:w="75" w:type="dxa"/>
              <w:bottom w:w="75" w:type="dxa"/>
              <w:right w:w="75" w:type="dxa"/>
            </w:tcMar>
          </w:tcPr>
          <w:p w14:paraId="06325552" w14:textId="115178ED" w:rsidR="001878ED" w:rsidRPr="00AF7DC5" w:rsidRDefault="00800E8E" w:rsidP="00497907">
            <w:r>
              <w:lastRenderedPageBreak/>
              <w:t>Daļēji ņemts vērā.</w:t>
            </w:r>
          </w:p>
        </w:tc>
        <w:tc>
          <w:tcPr>
            <w:tcW w:w="4156" w:type="dxa"/>
            <w:shd w:val="clear" w:color="auto" w:fill="FFFFFF" w:themeFill="background1"/>
            <w:noWrap/>
            <w:tcMar>
              <w:top w:w="75" w:type="dxa"/>
              <w:left w:w="75" w:type="dxa"/>
              <w:bottom w:w="75" w:type="dxa"/>
              <w:right w:w="75" w:type="dxa"/>
            </w:tcMar>
          </w:tcPr>
          <w:p w14:paraId="6374BF8C" w14:textId="3AC6B9DA" w:rsidR="001878ED" w:rsidRPr="00AF7DC5" w:rsidRDefault="00B22348" w:rsidP="00777D57">
            <w:r w:rsidRPr="00AF7DC5">
              <w:t>1.</w:t>
            </w:r>
            <w:r w:rsidR="00D215EC" w:rsidRPr="00AF7DC5">
              <w:t xml:space="preserve"> </w:t>
            </w:r>
            <w:r w:rsidR="00777D57" w:rsidRPr="00AF7DC5">
              <w:t>Ģeoekoloģiskā izpēte kā zemes dzīļu izmantošanas veids likumā ir bijis visu laiku. Likumprojekta grozījumos tikai tiek dota ģeoekoloģiskās izpēte definīcija. Ja komersants veic ģeoekoloģisko izpēti, tad pēc darbu veikšanas, atbilstoši licences nosacījumiem, ir jāsagatavo pārskats, kas jāiesniedz V</w:t>
            </w:r>
            <w:r w:rsidR="00F1300A" w:rsidRPr="00AF7DC5">
              <w:t>alsts ģeoloģijas fondā</w:t>
            </w:r>
            <w:r w:rsidR="00777D57" w:rsidRPr="00AF7DC5">
              <w:t xml:space="preserve"> un VVD. Pārskatā arī sniedz šo info par rezultātiem un izstrādā rekomendācijas piesārņojuma likvidācijai. Ar šo definīciju</w:t>
            </w:r>
            <w:r w:rsidR="00F1300A" w:rsidRPr="00AF7DC5">
              <w:t xml:space="preserve"> </w:t>
            </w:r>
            <w:r w:rsidR="00777D57" w:rsidRPr="00AF7DC5">
              <w:t xml:space="preserve">netiek noteikti jauni pienākumi. </w:t>
            </w:r>
          </w:p>
          <w:p w14:paraId="76BF1037" w14:textId="04721DC7" w:rsidR="00B22348" w:rsidRPr="00AF7DC5" w:rsidRDefault="00B22348" w:rsidP="00777D57">
            <w:r w:rsidRPr="00AF7DC5">
              <w:t>2.</w:t>
            </w:r>
            <w:r w:rsidR="00BB629E" w:rsidRPr="00AF7DC5">
              <w:t xml:space="preserve"> VARAM </w:t>
            </w:r>
            <w:r w:rsidR="006B7518" w:rsidRPr="00AF7DC5">
              <w:t xml:space="preserve">izvērtēja pausto iebildumu un </w:t>
            </w:r>
            <w:r w:rsidR="00BB629E" w:rsidRPr="00AF7DC5">
              <w:t xml:space="preserve">norāda, ka </w:t>
            </w:r>
            <w:r w:rsidR="0082577A" w:rsidRPr="00AF7DC5">
              <w:t xml:space="preserve">būvobjektu </w:t>
            </w:r>
            <w:r w:rsidR="0082577A" w:rsidRPr="00AF7DC5">
              <w:lastRenderedPageBreak/>
              <w:t xml:space="preserve">būvniecības gaitā izmantoto minerālmateriālu aprites izsekojamība ir </w:t>
            </w:r>
            <w:r w:rsidR="00EC4307" w:rsidRPr="00AF7DC5">
              <w:t xml:space="preserve">augstas prioritātes jautājums, lai izskaustu ēnu ekonomikas riskus šajā jomā. Arī citās vides aizsardzības jomās, piemēram, atkritumu apsaimniekošanā, </w:t>
            </w:r>
            <w:r w:rsidR="00986992" w:rsidRPr="00AF7DC5">
              <w:t xml:space="preserve">ieviesta materiālu aprites izsekojamība, kas veiksmīgi </w:t>
            </w:r>
            <w:r w:rsidR="00E85A60" w:rsidRPr="00AF7DC5">
              <w:t>nodrošina kontrolējošo institūciju ar nepieciešamo informāciju pārbaužu veikšana</w:t>
            </w:r>
            <w:r w:rsidR="006B7518" w:rsidRPr="00AF7DC5">
              <w:t>i.</w:t>
            </w:r>
          </w:p>
          <w:p w14:paraId="0B376387" w14:textId="54408A4C" w:rsidR="00B22348" w:rsidRPr="00AF7DC5" w:rsidRDefault="00B22348" w:rsidP="00777D57">
            <w:r w:rsidRPr="00AF7DC5">
              <w:t>3.</w:t>
            </w:r>
            <w:r w:rsidR="003E23E5" w:rsidRPr="00AF7DC5">
              <w:t xml:space="preserve"> Sk. informāciju pie Latvijas Kūdras asociācijas atzinuma 3. punkta.</w:t>
            </w:r>
          </w:p>
          <w:p w14:paraId="5A847105" w14:textId="5F5EFDEC" w:rsidR="00B22348" w:rsidRPr="00AF7DC5" w:rsidRDefault="00B22348" w:rsidP="00777D57">
            <w:r w:rsidRPr="00AF7DC5">
              <w:t>4.</w:t>
            </w:r>
            <w:r w:rsidR="007D4D9D" w:rsidRPr="00AF7DC5">
              <w:t xml:space="preserve"> </w:t>
            </w:r>
            <w:r w:rsidR="007901EA" w:rsidRPr="00AF7DC5">
              <w:t xml:space="preserve">Sk. </w:t>
            </w:r>
            <w:r w:rsidR="00625D9B" w:rsidRPr="00AF7DC5">
              <w:t>sniegto komentāru pie SIA “Baltic oil assets” iebilduma 4. punkta.</w:t>
            </w:r>
          </w:p>
          <w:p w14:paraId="53FFD26D" w14:textId="77E9AC50" w:rsidR="00B22348" w:rsidRPr="00AF7DC5" w:rsidRDefault="00B22348" w:rsidP="00777D57"/>
        </w:tc>
      </w:tr>
      <w:tr w:rsidR="009D7B1D" w:rsidRPr="00AF7DC5" w14:paraId="4A353CF1" w14:textId="77777777" w:rsidTr="00800E8E">
        <w:tc>
          <w:tcPr>
            <w:tcW w:w="750" w:type="dxa"/>
            <w:shd w:val="clear" w:color="auto" w:fill="FFFFFF" w:themeFill="background1"/>
            <w:noWrap/>
            <w:tcMar>
              <w:top w:w="75" w:type="dxa"/>
              <w:left w:w="75" w:type="dxa"/>
              <w:bottom w:w="75" w:type="dxa"/>
              <w:right w:w="75" w:type="dxa"/>
            </w:tcMar>
            <w:vAlign w:val="center"/>
          </w:tcPr>
          <w:p w14:paraId="61D8361C" w14:textId="1DCD1949" w:rsidR="009D7B1D" w:rsidRPr="00AF7DC5" w:rsidRDefault="001878ED">
            <w:pPr>
              <w:jc w:val="center"/>
            </w:pPr>
            <w:r w:rsidRPr="00AF7DC5">
              <w:lastRenderedPageBreak/>
              <w:t>5</w:t>
            </w:r>
            <w:r w:rsidR="009D7B1D" w:rsidRPr="00AF7DC5">
              <w:t>.</w:t>
            </w:r>
          </w:p>
        </w:tc>
        <w:tc>
          <w:tcPr>
            <w:tcW w:w="2505" w:type="dxa"/>
            <w:shd w:val="clear" w:color="auto" w:fill="FFFFFF" w:themeFill="background1"/>
            <w:noWrap/>
            <w:tcMar>
              <w:top w:w="75" w:type="dxa"/>
              <w:left w:w="75" w:type="dxa"/>
              <w:bottom w:w="75" w:type="dxa"/>
              <w:right w:w="75" w:type="dxa"/>
            </w:tcMar>
            <w:vAlign w:val="center"/>
          </w:tcPr>
          <w:p w14:paraId="3EA0BF4A" w14:textId="16DF0011" w:rsidR="009D7B1D" w:rsidRPr="00AF7DC5" w:rsidRDefault="009D7B1D">
            <w:pPr>
              <w:jc w:val="left"/>
            </w:pPr>
            <w:r w:rsidRPr="00AF7DC5">
              <w:t>Baltijas Ģeologu Asociācija</w:t>
            </w:r>
          </w:p>
        </w:tc>
        <w:tc>
          <w:tcPr>
            <w:tcW w:w="5806" w:type="dxa"/>
            <w:shd w:val="clear" w:color="auto" w:fill="FFFFFF" w:themeFill="background1"/>
            <w:noWrap/>
            <w:tcMar>
              <w:top w:w="75" w:type="dxa"/>
              <w:left w:w="75" w:type="dxa"/>
              <w:bottom w:w="75" w:type="dxa"/>
              <w:right w:w="75" w:type="dxa"/>
            </w:tcMar>
            <w:vAlign w:val="center"/>
          </w:tcPr>
          <w:p w14:paraId="53B5E3CC" w14:textId="77777777" w:rsidR="009D7B1D" w:rsidRPr="00AF7DC5" w:rsidRDefault="009D7B1D" w:rsidP="00497907">
            <w:r w:rsidRPr="00AF7DC5">
              <w:t>Lūdzam ņemt vērā tehnisku precizējumu  Asociācijas iesniegtajos priekšlikumos Likumprojektam “Grozījumi likumā “Par zemes dzīlēm”:</w:t>
            </w:r>
            <w:r w:rsidRPr="00AF7DC5">
              <w:br/>
              <w:t xml:space="preserve">Asociācijas vēstules 2) apakšpunktā </w:t>
            </w:r>
            <w:r w:rsidRPr="00AF7DC5">
              <w:br/>
            </w:r>
            <w:r w:rsidRPr="00AF7DC5">
              <w:rPr>
                <w:u w:val="single"/>
              </w:rPr>
              <w:t>mainīt Priekšļikumu no:</w:t>
            </w:r>
            <w:r w:rsidRPr="00AF7DC5">
              <w:br/>
              <w:t xml:space="preserve">“svītrot grozījumus Likumprojekta 21.pantā” </w:t>
            </w:r>
            <w:r w:rsidRPr="00AF7DC5">
              <w:rPr>
                <w:u w:val="single"/>
              </w:rPr>
              <w:t>uz</w:t>
            </w:r>
            <w:r w:rsidRPr="00AF7DC5">
              <w:br/>
            </w:r>
            <w:r w:rsidRPr="00AF7DC5">
              <w:rPr>
                <w:u w:val="single"/>
              </w:rPr>
              <w:t>Priekšlikumu:</w:t>
            </w:r>
            <w:r w:rsidRPr="00AF7DC5">
              <w:br/>
              <w:t>“Likumprojekta 4.panta 5.apakšpunktu atstāt esošajā lkuma “Par zemes dzīlēm”4.panta 5) apakšpunkta redakcijā</w:t>
            </w:r>
            <w:r w:rsidRPr="00AF7DC5">
              <w:br/>
              <w:t xml:space="preserve">“ Vietējās pašvaldības savās administratīvajās </w:t>
            </w:r>
            <w:r w:rsidRPr="00AF7DC5">
              <w:lastRenderedPageBreak/>
              <w:t>teritorijās:</w:t>
            </w:r>
            <w:r w:rsidRPr="00AF7DC5">
              <w:br/>
              <w:t xml:space="preserve">1) Ministru kabineta noteiktajā kārtībā un ievērojot Valsts vides dienesta noteiktos ieguves limitus, izsniedz atļaujas bieži sastopamo derīgo izrakteņu ieguvei, izņemot šā likuma 10.panta pirmās daļas 3.punkta "a" un "b" apakšpunktā noteiktos gadījumus; </w:t>
            </w:r>
          </w:p>
          <w:p w14:paraId="37D76209" w14:textId="03F0F576" w:rsidR="009D7B1D" w:rsidRPr="00AF7DC5" w:rsidRDefault="009D7B1D" w:rsidP="00497907">
            <w:r w:rsidRPr="00AF7DC5">
              <w:t>2) pārrauga derīgo izrakteņu ieguves vietu rekultivāciju.</w:t>
            </w:r>
          </w:p>
        </w:tc>
        <w:tc>
          <w:tcPr>
            <w:tcW w:w="1350" w:type="dxa"/>
            <w:shd w:val="clear" w:color="auto" w:fill="FFFFFF" w:themeFill="background1"/>
            <w:noWrap/>
            <w:tcMar>
              <w:top w:w="75" w:type="dxa"/>
              <w:left w:w="75" w:type="dxa"/>
              <w:bottom w:w="75" w:type="dxa"/>
              <w:right w:w="75" w:type="dxa"/>
            </w:tcMar>
          </w:tcPr>
          <w:p w14:paraId="5CD8B92D" w14:textId="025F82BD" w:rsidR="009D7B1D" w:rsidRPr="00AF7DC5" w:rsidRDefault="00800E8E" w:rsidP="00497907">
            <w:r>
              <w:lastRenderedPageBreak/>
              <w:t>Nav ņemts vērā.</w:t>
            </w:r>
          </w:p>
        </w:tc>
        <w:tc>
          <w:tcPr>
            <w:tcW w:w="4156" w:type="dxa"/>
            <w:shd w:val="clear" w:color="auto" w:fill="FFFFFF" w:themeFill="background1"/>
            <w:noWrap/>
            <w:tcMar>
              <w:top w:w="75" w:type="dxa"/>
              <w:left w:w="75" w:type="dxa"/>
              <w:bottom w:w="75" w:type="dxa"/>
              <w:right w:w="75" w:type="dxa"/>
            </w:tcMar>
          </w:tcPr>
          <w:p w14:paraId="0144DF40" w14:textId="77777777" w:rsidR="009D7B1D" w:rsidRPr="00AF7DC5" w:rsidRDefault="009D7B1D" w:rsidP="00497907"/>
        </w:tc>
      </w:tr>
      <w:tr w:rsidR="009D7B1D" w:rsidRPr="00AF7DC5" w14:paraId="395F9A5D" w14:textId="77777777" w:rsidTr="00800E8E">
        <w:tc>
          <w:tcPr>
            <w:tcW w:w="750" w:type="dxa"/>
            <w:shd w:val="clear" w:color="auto" w:fill="FFFFFF" w:themeFill="background1"/>
            <w:noWrap/>
            <w:tcMar>
              <w:top w:w="75" w:type="dxa"/>
              <w:left w:w="75" w:type="dxa"/>
              <w:bottom w:w="75" w:type="dxa"/>
              <w:right w:w="75" w:type="dxa"/>
            </w:tcMar>
            <w:vAlign w:val="center"/>
          </w:tcPr>
          <w:p w14:paraId="50AC4649" w14:textId="3B48E419" w:rsidR="009D7B1D" w:rsidRPr="00AF7DC5" w:rsidRDefault="00E72276">
            <w:pPr>
              <w:jc w:val="center"/>
            </w:pPr>
            <w:r w:rsidRPr="00AF7DC5">
              <w:t>6</w:t>
            </w:r>
            <w:r w:rsidR="009D7B1D" w:rsidRPr="00AF7DC5">
              <w:t>.</w:t>
            </w:r>
          </w:p>
        </w:tc>
        <w:tc>
          <w:tcPr>
            <w:tcW w:w="2505" w:type="dxa"/>
            <w:shd w:val="clear" w:color="auto" w:fill="FFFFFF" w:themeFill="background1"/>
            <w:noWrap/>
            <w:tcMar>
              <w:top w:w="75" w:type="dxa"/>
              <w:left w:w="75" w:type="dxa"/>
              <w:bottom w:w="75" w:type="dxa"/>
              <w:right w:w="75" w:type="dxa"/>
            </w:tcMar>
            <w:vAlign w:val="center"/>
          </w:tcPr>
          <w:p w14:paraId="7C112E51" w14:textId="15DA87C3" w:rsidR="009D7B1D" w:rsidRPr="00AF7DC5" w:rsidRDefault="009D7B1D">
            <w:pPr>
              <w:jc w:val="left"/>
            </w:pPr>
            <w:r w:rsidRPr="00AF7DC5">
              <w:t>Latvijas Tirdzniecības un rūpniecības kamera</w:t>
            </w:r>
          </w:p>
        </w:tc>
        <w:tc>
          <w:tcPr>
            <w:tcW w:w="5806" w:type="dxa"/>
            <w:shd w:val="clear" w:color="auto" w:fill="FFFFFF" w:themeFill="background1"/>
            <w:noWrap/>
            <w:tcMar>
              <w:top w:w="75" w:type="dxa"/>
              <w:left w:w="75" w:type="dxa"/>
              <w:bottom w:w="75" w:type="dxa"/>
              <w:right w:w="75" w:type="dxa"/>
            </w:tcMar>
            <w:vAlign w:val="center"/>
          </w:tcPr>
          <w:p w14:paraId="25469922" w14:textId="77777777" w:rsidR="003428EE" w:rsidRPr="00AF7DC5" w:rsidRDefault="00E96A35" w:rsidP="00497907">
            <w:r w:rsidRPr="00AF7DC5">
              <w:t xml:space="preserve">Latvijas Tirdzniecības un rūpniecības kamera (turpmāk – LTRK) ir iepazinusies ar Vides aizsardzības un reģionālās attīstības ministrijas (turpmāk – VARAM) izstrādāto likumprojektu par "Grozījumiem likumā "Par zemes dzīlēm" (turpmāk – Likumprojekts). Vēršam uzmanību, ka Likumprojekta Anotācijā nav loģiski pamatota grozījumu nepieciešamība, jo spēkā esošajā normatīvajā regulējumā - likumā “Par zemes dzīlēm” un MK 22.12.2015. Noteikumos Nr.805 “Noteikumi par ogļūdeņražu meklēšanu, izpēti un ieguvi” (spēkā ar 12.01.2016.) ir noteiktas visas iespējamās rīcības saistībā ar ogļūdeņražu meklēšanu, izpēti un ieguvi. Minētajās rīcībās, t.sk. licences darbību, ogļūdeņražu meklēšanas, izpētes un ieguves kontroli u.c. iesaistīta virkne valsts institūciju, t.sk., Ekonomikas ministrija, Būvniecības valsts kontroles birojs, Valsts vides </w:t>
            </w:r>
            <w:r w:rsidRPr="00AF7DC5">
              <w:lastRenderedPageBreak/>
              <w:t xml:space="preserve">dienests, kā arī pašvaldības, šis kontroles mehānisms izriet no citiem normatīvajiem aktiem Anotācijas mērķa aprakstā norādīts uz Likumprojektā risinātiem jautājumiem saistībā ar ogļūdeņražu meklēšanas, izpētes un ieguves pārraudzību, ko rosinājusi Ekonomikas ministrija. Likumprojekta izstrādes pamatojumā norādīts uz Valsts kontroles ieteikumu, savukārt, aprakstošajā daļā norādīts uz Valsts kontroles dotā uzdevuma - "iniciēt grozījumus normatīvajos aktos, piešķirot papildus tiesības kontrolējošajām iestādēm un nosakot licences darbības kontroles, apturēšanas un anulēšanas kārtību, lai nodrošinātu savlaicīgu un operatīvu reaģēšanu uz pārkāpumiem saistībā ar ogļūdeņražu izpēti un ieguvi" (Revīzijas lieta Nr. 2.4.1-38/2016 "Par Latvijas Republikas 2016. gada pārskatu par valsts budžeta izpildi un par pašvaldību budžetiem") - izpildi. Valsts kontrole veic revīzijas saskaņā ar starptautiskajiem publiskā sektora revīzijas standartiem, kuru atzīšanu Latvijā nosaka valsts kontrolieris, no kā izriet, ka minētie revīzijas standarti neregulē zemes dzīļu kompleksas, racionālas, vidi saudzējošas un ilgtspējīgas izmantošanas, kā arī zemes dzīļu aizsardzības prasību ievērošanu. Valsts kontroles likuma 2.panta (2) apakšpunkts nosaka Valsts kontroles tiesības ierosināt Ministru kabinetam veikt pasākumus Valsts kontroles revīziju rezultātu </w:t>
            </w:r>
            <w:r w:rsidRPr="00AF7DC5">
              <w:lastRenderedPageBreak/>
              <w:t xml:space="preserve">izvērtēšanai, bet nedod tiesības uzdot likumdevējam veikt grozījumus normatīvajos aktos. Bez tam, nav loģiska pamatojuma 2022.gadā izstrādātā normatīvā regulējuma atsaucei uz Valsts kontroles secinājumiem par 2016.gadu. 2 4.panta ceturtā daļa Priekšlikums papildināt Likumprojekta 4.panta ceturto daļu redakcijā “Ministru kabinets nosaka ogļūdeņražu licences laukuma nosacījumus ogļūdeņražu meklēšanas, izpētes un ieguves licences saņemšanai, tās izsniegšanas un izmantošanas uzraudzības kārtību, kā arī licences apturēšanas un atcelšanas nosacījumus” ir vērtējams kā nepietiekoši pamatots un nenodrošina tiesību aktu hierarhisko pakļautību – Ministru kabineta noteikumu regulējums nevar būt plašāks kā tas noteikts likumā, uz kā pamata izdoti noteikumi. Gadījumiem, kad licence būtu atceļama vai apturama, jābūt noteiktiem likumā “Par zemes dzīlēm”, kas aktuālajā redakcijā saskaņā ar likuma 16.panta trešās daļas 4.punktu paredz lemt par licences atcelšanu, ja licenciāts atkārtoti pārkāpj zemes dzīļu izmantošanas licencē noteikto vai normatīvo aktu prasības attiecībā uz zemes dzīļu izmantošanu un aizsardzību. VARAM Likumprojekta anotācijā norādījusi, ka: “precizēts Likuma 4.panta ceturtajā daļā dotais pilnvarojums Ministru kabinetam ne tikai par licences atcelšanu, </w:t>
            </w:r>
            <w:r w:rsidRPr="00AF7DC5">
              <w:lastRenderedPageBreak/>
              <w:t xml:space="preserve">bet arī par tās apturēšanu ogļūdeņražu meklēšanas vai izpētes un ieguves licencēm”. Ar šo VARAM apliecina, ka Likumprojektā veikto grozījumu mērķis ir paplašināt Ministru kabineta pilnvarojumu, kas ir pretrunā ar normatīvo aktu savstarpējās pakļautības sistēmu un likuma “Par zemes dzīlēm” 2.pantā noteikto likuma mērķi. Jau šobrīd vides aizsardzības normatīvais regulējums, piemēram likums “Par piesārņojumu” un citi, nosaka administratīvo atbildību vides piesārņošanas jomā. Anotācijā nav minēts pamatojums, kāpēc tieši ogļūdeņražu ieguvē nepieciešams papildus dublēt spēkā esošajos normatīvajos aktos noteikto kārtību vides piesārņošanas jomā. LTRK rīcībā ir informācija, ka šobrīd Latvijā tikai viens uzņēmums reāli veic ogļūdeņražu ieguvi kopš 2009.gada. Visā uzņēmuma darbības laikā nav konstatēts vides piesārņojums, kas būtu saistāms ar ogļūdeņražu izpētes un ieguves darbiem, tāpēc likumprojekta anotācijā norādītais, ka: “minētā norma un tiesības būtu saistošas arī uz Būvniecības valsts kontroles birojam kā ogļūdeņražu meklēšanas, izpētes un ieguves licenču izsniedzējam, jo arī šajā jomā jāsamazina iespējamie riski attiecībā uz atkārtotiem pārkāpumiem un prettiesisku rīcību” nav pamatots. Tāpat nav izvērtēti anotācijā minētie riski un to iestāšanās varbūtība. Nekādā gadījumā </w:t>
            </w:r>
            <w:r w:rsidRPr="00AF7DC5">
              <w:lastRenderedPageBreak/>
              <w:t xml:space="preserve">nevar pieļaut likuma grozījumu iniciēšanu vienīgā nozari pārstāvošā uzņēmuma darbības regulēšanai, jo normatīvajam aktam jāsatur vispārēja rakstura obligātu priekšrakstu par cilvēku vai iestāžu nepieciešamu uzvedību darbību vai bezdarbību, tiem jābūt adresētiem jebkuram tiesību subjektam un tos jāspēj piemērot vairākkārt. Nav pieļaujams, ka viena noteikta uzņēmuma darbības regulēšanai veic grozījumus likumā, īpaši pie nosacījuma, ka uzņēmuma darbība nekad un ne pie kādiem apstākļiem nav radījusi risku videi vai tikusi klasificēta kā prettiesiska. Vienlaikus nav zināms vai vispār un kad ogļūdeņražu nozarē varētu uzsākt reālu darbību vēl kāds licenciāts. Tādējādi, vispirms, nepieciešams veikt Likumprojekta ietekmes novērtējumu un tā nepieciešamības izvērtēšanu, jo saskaņā ar pieejamo informāciju, tāda nav bijusi. Anotācijā minēti tikai vispārīgi pieņēmumi, ko nav iespējams piemērot iepriekšminētajam uzņēmumam, kas vienīgais Latvijā pārstāv ogļūdeņražu izpētes un ieguves nozari. 3 1.panta 156 punkts Papildus LTRK lūdz precizēt ogļūdeņražu ieguves terminu. Ņemot vērā, ka komercdarbība tiek veikta peļņas gūšanai, nav korekti ogļūdeņražu ieguvi šauri skaidrot kā darbību peļņas gūšanai. Bez tam, nevienam citam derīgajam izraktenim tā ieguve nav definēta kā darbība peļņas gūšanai, tādēļ lūdzam </w:t>
            </w:r>
            <w:r w:rsidRPr="00AF7DC5">
              <w:lastRenderedPageBreak/>
              <w:t xml:space="preserve">Likumprojekta 1.panta 156 punktu izteikt sekojošā redakcijā: “ogļūdeņražu ieguve — darbību kopums derīgo izrakteņu atdalīšanai no to dabiskās vides.” 10. pants 1.1 Nav pamatojuma piemērot analoģiju ogļūdeņražu meklēšanas, izpētes un ieguves darbiem ar būvniecības darbiem, jo pirmā saimnieciskā darbība iekļauta NACE saimniecisko darbību statistiskā klasifikācijas grupā “Ieguves rūpniecība un karjeru izstrāde”, bet būvniecība ietverta grupā “Būvniecība”. Tā, kā saimnieciskās darbības iekļautas dažādās NACE klasifikatora grupās, nav pamata atsaukties uz statistikas datu nepilnībām būvniecībā, lai pastiprinātu administratīvo slogu pēc citām NACE klasifikatora grupās reģistrētiem komersantiem. Tādā gadījumā, normas jāattiecina arī uz “Ūdens apgādi, notekūdeņu, atkritumu apsaimniekošanu un sanāciju”, “Apstrādes rūpniecību” vai citu saimniecisko darbību grupu. </w:t>
            </w:r>
          </w:p>
          <w:p w14:paraId="2116E072" w14:textId="77777777" w:rsidR="003428EE" w:rsidRPr="00AF7DC5" w:rsidRDefault="003428EE" w:rsidP="00497907"/>
          <w:p w14:paraId="3A2AC46D" w14:textId="206D6DB8" w:rsidR="009D7B1D" w:rsidRPr="00AF7DC5" w:rsidRDefault="00E96A35" w:rsidP="00497907">
            <w:r w:rsidRPr="00AF7DC5">
              <w:t xml:space="preserve">Nepieciešams precizēt derīgo izrakteņu veidus, izslēdzot ogļūdeņražus un noteikt pārkāpumu skaitu, izslēdzot atbildīgo amatpersonu subjektīvu vērtējumu pārkāpumu skaitam. Vārds “vairākkārt” jāaizvieto ar skaitlisku vērtību vai jāsvītro. 14. pants 8. punkts Kategoriski nav pieļaujams uzlikt komersantam par pienākumu rekultivēt tās platības, kuras ir skartas zemes dzīļu izmantošanas </w:t>
            </w:r>
            <w:r w:rsidRPr="00AF7DC5">
              <w:lastRenderedPageBreak/>
              <w:t xml:space="preserve">rezultātā, kā licences laukumā tā ārpus tā, ja kaimiņu platībās ir konstatēta ieguve vai tās rezultātā izsaukta erozija; pienākumu rekultivēt tās platības, kur nav veikta zemes dzīļu ieguve, bet ir notikuši sagatavošanas darbi (noņemta augsne, zemsedze, bojāts reljefs un virszemes ūdens notece), kas tiek pamatota ar trešās personas saņemtu sūdzību. Ieviešot plānoto Likumprojektu tiek veicināta patvaļa un neierobežotas spekulācijas, kas vērstas pret komersantiem, kas strādā jebkādu derīgo izrakteņu ieguves jomā, a apriori uzskatot komersantus par tiesību normu pārkāpējiem, kā arī pieļaujot plaša spektra spekulācijas kā no blakus esošo zemes īpašnieku, tā arī kontrolējošo institūciju amatpersonu puses. Jāņem vērā arī apelācijas sūdzību par kontrolējošo institūciju pieņemtajiem lēmumiem skaita palielinājumu, apelācijas institūcijas un tiesu sistēmas kapacitāti - spēju izskatīt un izvērtēt kontrolējošo institūciju izdoto administratīvo aktu likumisko pamatu. Tas nozīmē ne tikai iespējamu komersantu līdzekļu nepamatotu izlietojumu blakus esošo zemju nepamatotai rekultivācijai, bet arī valsts budžeta līdzekļu izšķērdēšanu pārbaudēm, pārbaužu rezultātu izvērtēšanai un citām darbībām. Papildus jānorāda, ka virkne citu normatīvo aktu paredz rīcību piesārņojuma vai arī cita īpašuma bojājuma gadījumā. Ņemot vērā, ka </w:t>
            </w:r>
            <w:r w:rsidRPr="00AF7DC5">
              <w:lastRenderedPageBreak/>
              <w:t>Likumprojekta mērķis norādīts – administratīvā sloga samazināšana, konkrētajā gadījumā normatīvie akti tiks dubultoti. 4 Priekšlikumi: 1) svītrot grozījumu 4. pantā (saglabāt esošo redakciju), aizstājot ceturtajā daļā vārdu "anulēšanas" ar vārdiem "apturēšanas un atcelšanas"; 2) precizēt Likumprojektā terminoloģiju saistībā ar ogļūdeņražu meklēšanas, izpētes un ieguves darbu veikšanu. 3) 10. pants 1.1 – precizēt derīgo izrakteņu veidus, izslēdzot ogļūdeņražus; 4) 10. pants 1.1 – noteikt pārkāpumu skaitu, izslēdzot atbildīgo amatpersonu subjektīvu vērtējumu pārkāpumu skaitam. Vārds “vairākkārt” jāaizvieto ar skaitlisku vērtību vai jāsvītro. 5) 14. pants 8. punkts – svītrot grozījumus un saglabāt esošo redakciju: “uz sava rēķina rekultivēt zemes dzīļu izmantošanas rezultātā radušos zemes gabala bojājumus atļaujā vai licencē norādītajā termiņā;”</w:t>
            </w:r>
          </w:p>
        </w:tc>
        <w:tc>
          <w:tcPr>
            <w:tcW w:w="1350" w:type="dxa"/>
            <w:shd w:val="clear" w:color="auto" w:fill="FFFFFF" w:themeFill="background1"/>
            <w:noWrap/>
            <w:tcMar>
              <w:top w:w="75" w:type="dxa"/>
              <w:left w:w="75" w:type="dxa"/>
              <w:bottom w:w="75" w:type="dxa"/>
              <w:right w:w="75" w:type="dxa"/>
            </w:tcMar>
          </w:tcPr>
          <w:p w14:paraId="15BE4BC3" w14:textId="18C7D9B6" w:rsidR="009D7B1D" w:rsidRPr="00AF7DC5" w:rsidRDefault="00800E8E" w:rsidP="00497907">
            <w:r>
              <w:lastRenderedPageBreak/>
              <w:t>Daļēji ņemts vērā.</w:t>
            </w:r>
          </w:p>
        </w:tc>
        <w:tc>
          <w:tcPr>
            <w:tcW w:w="4156" w:type="dxa"/>
            <w:shd w:val="clear" w:color="auto" w:fill="FFFFFF" w:themeFill="background1"/>
            <w:noWrap/>
            <w:tcMar>
              <w:top w:w="75" w:type="dxa"/>
              <w:left w:w="75" w:type="dxa"/>
              <w:bottom w:w="75" w:type="dxa"/>
              <w:right w:w="75" w:type="dxa"/>
            </w:tcMar>
          </w:tcPr>
          <w:p w14:paraId="406D3A3A" w14:textId="17C5AF36" w:rsidR="009D7B1D" w:rsidRPr="00AF7DC5" w:rsidRDefault="00FD5DFF" w:rsidP="00497907">
            <w:r w:rsidRPr="00AF7DC5">
              <w:t xml:space="preserve">Ar ogļūdeņražu </w:t>
            </w:r>
            <w:r w:rsidR="00C13266" w:rsidRPr="00AF7DC5">
              <w:t>izpēti un ieguvi saistītie grozījumi no Likumprojekta tika izslēgti.</w:t>
            </w:r>
          </w:p>
        </w:tc>
      </w:tr>
      <w:tr w:rsidR="009D7B1D" w:rsidRPr="00AF7DC5" w14:paraId="74746B07" w14:textId="77777777" w:rsidTr="00800E8E">
        <w:tc>
          <w:tcPr>
            <w:tcW w:w="750" w:type="dxa"/>
            <w:shd w:val="clear" w:color="auto" w:fill="FFFFFF" w:themeFill="background1"/>
            <w:noWrap/>
            <w:tcMar>
              <w:top w:w="75" w:type="dxa"/>
              <w:left w:w="75" w:type="dxa"/>
              <w:bottom w:w="75" w:type="dxa"/>
              <w:right w:w="75" w:type="dxa"/>
            </w:tcMar>
            <w:vAlign w:val="center"/>
          </w:tcPr>
          <w:p w14:paraId="725FF227" w14:textId="5DEC3BB3" w:rsidR="009D7B1D" w:rsidRPr="00AF7DC5" w:rsidRDefault="00E72276">
            <w:pPr>
              <w:jc w:val="center"/>
            </w:pPr>
            <w:r w:rsidRPr="00AF7DC5">
              <w:lastRenderedPageBreak/>
              <w:t>7</w:t>
            </w:r>
            <w:r w:rsidR="009D7B1D" w:rsidRPr="00AF7DC5">
              <w:t>.</w:t>
            </w:r>
          </w:p>
        </w:tc>
        <w:tc>
          <w:tcPr>
            <w:tcW w:w="2505" w:type="dxa"/>
            <w:shd w:val="clear" w:color="auto" w:fill="FFFFFF" w:themeFill="background1"/>
            <w:noWrap/>
            <w:tcMar>
              <w:top w:w="75" w:type="dxa"/>
              <w:left w:w="75" w:type="dxa"/>
              <w:bottom w:w="75" w:type="dxa"/>
              <w:right w:w="75" w:type="dxa"/>
            </w:tcMar>
            <w:vAlign w:val="center"/>
          </w:tcPr>
          <w:p w14:paraId="65D9C896" w14:textId="7E2790E2" w:rsidR="009D7B1D" w:rsidRPr="00AF7DC5" w:rsidRDefault="009D7B1D">
            <w:pPr>
              <w:jc w:val="left"/>
            </w:pPr>
            <w:r w:rsidRPr="00AF7DC5">
              <w:t>SIA “Baltic oil assets”</w:t>
            </w:r>
          </w:p>
        </w:tc>
        <w:tc>
          <w:tcPr>
            <w:tcW w:w="5806" w:type="dxa"/>
            <w:shd w:val="clear" w:color="auto" w:fill="FFFFFF" w:themeFill="background1"/>
            <w:noWrap/>
            <w:tcMar>
              <w:top w:w="75" w:type="dxa"/>
              <w:left w:w="75" w:type="dxa"/>
              <w:bottom w:w="75" w:type="dxa"/>
              <w:right w:w="75" w:type="dxa"/>
            </w:tcMar>
            <w:vAlign w:val="center"/>
          </w:tcPr>
          <w:p w14:paraId="6EF11D99" w14:textId="68E7FAB8" w:rsidR="009D7B1D" w:rsidRPr="00AF7DC5" w:rsidRDefault="009D7B1D" w:rsidP="00497907">
            <w:r w:rsidRPr="00AF7DC5">
              <w:t xml:space="preserve">SIA “BALTIC OIL ASSETS”, turpmāk – Sabiedrība, ir iepazinusies ar Vides aizsardzības un reģionālās attīstības ministrijas, turpmāk – VARAM, elektroniskai saskaņošanai nodoto likumprojektu Grozījumi likumā “Par zemes dzīlēm”, turpmāk – Likumprojekts, un vēlas sniegt savus iebildumus. Sabiedrība norāda, ka Likumprojektā nepieciešams precizēt terminoloģiju saistībā ar ogļūdeņražu meklēšanas, </w:t>
            </w:r>
            <w:r w:rsidRPr="00AF7DC5">
              <w:lastRenderedPageBreak/>
              <w:t xml:space="preserve">izpētes un ieguves darbu veikšanu. Latvijas Republikā tiek iegūti dažādi derīgie izrakteņi, tomēr to ieguve nav definēta kā darbība peļņas gūšanai. Jebkura komercdarbība pēc būtības ir veicama peļņas gūšanai. Sabiedrības priekšlikums: 1) izteikt 1.panta 156 ) punktu sekojošā redakcijā: “ogļūdeņražu ieguve — darbību kopums derīgo izrakteņu atdalīšanai no to dabiskās vides.” Sabiedrība uzskata, ka nav pamatoti grozījumi likuma “Par zemes dzīlēm”, turpmāk – Likums, 4.panta ceturtajā daļā, kurā paredzēts aizstāt un papildināt vārdu “anulēšanas” ar vārdiem “apturēšana un atcelšana”. Nav skaidrs, kāds ir Ekonomikas ministrijas, turpmāk - Ministrija, mērķis, rosinot iekļaut šīs izmaiņas, jo tā nespēj pamatot grozījumu nepieciešamību. Jautājums, vai Ministrija ir detalizēti izanalizējusi jau iepriekš sniegtos Sabiedrības iebildumus un kādā veidā tā plāno nodrošināt urbumu darbības nepārtrauktību. Sabiedrība līdz šim brīdim nav saņēmusi atbildi uz jautājumu, kādā veidā ir iespējams komersantam izpildīt normatīvajos aktos noteiktās prasības, vienlaicīgi nepārkāpjot citu normatīvo aktu prasības? Kāpēc ilgstoši netiek novērstas birokrātiskas un formālas procedūras, kas kavē ogļūdeņražu izpēti un ieguvi Latvijā. Sabiedrības priekšlikums: 2) izslēgt no Likuma 4.pantā ceturtās daļas vārdus: “kā arī licences anulēšanas </w:t>
            </w:r>
            <w:r w:rsidRPr="00AF7DC5">
              <w:lastRenderedPageBreak/>
              <w:t xml:space="preserve">nosacījumus”. Sabiedrība lūdz izteikt Likuma 9.panta 1.daļas 6.punktu sekojošā redakcijā: “ogļūdeņražu izpētei un ieguvei - uz laiku līdz 30 gadiem”, jo šī brīža punkta redakcija ir pretrunā ar ogļūdeņražu izpētes un ieguves kārtību. Sabiedrība norāda, ka nav pamatojuma piemērot analoģiju ogļūdeņražu meklēšanas, izpētes un ieguves darbiem ar būvniecības darbiem, jo pirmā saimnieciskā darbība iekļauta NACE saimniecisko darbību statistiskā klasifikācijas grupā “Ieguves rūpniecība un karjeru izstrāde”, bet būvniecība ietverta grupā “Būvniecība”. Tā kā saimnieciskās darbības iekļautas dažādās NACE klasifikatora grupās, nav pamata atsaukties uz statistikas datu nepilnībām būvniecības nozarē, lai pastiprinātu administratīvo slogu citās nozarēs strādājošiem komersantiem. Sabiedrības priekšlikumi: 3) precizēt Likuma 10. pantā 11 derīgo izrakteņu veidus, izslēdzot ogļūdeņražus; 4) noteikt Likuma 10. pantā 1 1 pārkāpumu skaitu, izslēdzot iespēju subjektīvi vērtēt pārkāpumu(-s). Priekšlikums - norādīt skaitlisku vērtību vārda “vairākkārt” vietā, vai arī svītrot vārdu “vairākkārt”. Sabiedrība iebilst pret pienākumu “rekultivēt tās platības, kuras ir skartas zemes dzīļu izmantošanas rezultātā, kā licences laukumā tā ārpus tā, ja kaimiņu platībās ir konstatēta ieguve vai tās rezultātā izsaukta erozija; pienākumu rekultivēt tās platības, kur nav veikta </w:t>
            </w:r>
            <w:r w:rsidRPr="00AF7DC5">
              <w:lastRenderedPageBreak/>
              <w:t xml:space="preserve">zemes dzīļu ieguve, bet ir notikuši sagatavošanas darbi (noņemta augsne, zemsedze, bojāts reljefs un virszemes ūdens notece)”, ja tas tiek pamatots ar trešās personas sūdzību. Proti, izslēgt situācijas, kad jebkurš “kaimiņš”, kam kādu iemeslu dēļ “nepatīk” komersanta darbība, var pret to nepamatoti vērsties, brīvi interpretējot likumā noteiktās normas. Rodas situācija, ka komersanti jau sākotnēji tiek uzskatīti par tiesību normu pārkāpējiem, kā arī tiek pieļauta iespēja subjektīvām interpretācijām no kontrolējošo institūciju amatpersonu puses. Sabiedrības priekšlikums: 5) saglabāt Likuma 14. panta 8. punkta esošo redakciju: “uz sava rēķina rekultivēt zemes dzīļu izmantošanas rezultātā radušos zemes gabala bojājumus atļaujā vai licencē norādītajā termiņā;” Sabiedrība iebilst grozījumiem 4.panta piektajā daļā un lūdz tos svītrot. Ne komersantam, ne privātpersonai nevar uzlikt par pienākumu veikt saimnieciska rakstura darbības ar derīgajiem izrakteņiem būvdarbu ietvaros. Lai apsaimniekotu derīgos izrakteņus ir nepieciešamas speciālas zināšanas, kas, iespējams, nav privātpersonām un komersantiem, kas plānojuši veikt būvdarbus, nevis derīgo izrakteņu ieguvi. Papildus jānorāda, ka būvdarbu procesā iegūtie materiāli pārsvarā tiek izmantoti teritorijas labiekārtošanai. Sabiedrības priekšlikums: 6) saglabāt Likuma 4.panta piektās </w:t>
            </w:r>
            <w:r w:rsidRPr="00AF7DC5">
              <w:lastRenderedPageBreak/>
              <w:t>daļas esošo redakciju: Vietējās pašvaldības savās administratīvajās teritorijās: 1) Ministru kabineta noteiktajā kārtībā un ievērojot Valsts vides dienesta noteiktos ieguves limitus, izsniedz atļaujas bieži sastopamo derīgo izrakteņu ieguvei, izņemot šā likuma 10.panta pirmās daļas 3.punkta "a" un "b" apakšpunktā noteiktos gadījumus; 2) pārrauga derīgo izrakteņu ieguves vietu rekultivāciju. Pamatojoties uz augstāk minēto, Sabiedrība lūdz izskatīt tās iebildumus un priekšlikumus un sniegt atbildi uz uzdotajiem jautājumiem,. Papildus lūdzam sniegt atbildi vai tās iebildumi tiks ņemti vērā un informēt par Likumprojekta virzību.</w:t>
            </w:r>
          </w:p>
        </w:tc>
        <w:tc>
          <w:tcPr>
            <w:tcW w:w="1350" w:type="dxa"/>
            <w:shd w:val="clear" w:color="auto" w:fill="FFFFFF" w:themeFill="background1"/>
            <w:noWrap/>
            <w:tcMar>
              <w:top w:w="75" w:type="dxa"/>
              <w:left w:w="75" w:type="dxa"/>
              <w:bottom w:w="75" w:type="dxa"/>
              <w:right w:w="75" w:type="dxa"/>
            </w:tcMar>
          </w:tcPr>
          <w:p w14:paraId="33096122" w14:textId="3331AB6A" w:rsidR="009D7B1D" w:rsidRPr="00AF7DC5" w:rsidRDefault="00800E8E" w:rsidP="00497907">
            <w:r>
              <w:lastRenderedPageBreak/>
              <w:t>Daļēji ņemts vērā.</w:t>
            </w:r>
          </w:p>
        </w:tc>
        <w:tc>
          <w:tcPr>
            <w:tcW w:w="4156" w:type="dxa"/>
            <w:shd w:val="clear" w:color="auto" w:fill="FFFFFF" w:themeFill="background1"/>
            <w:noWrap/>
            <w:tcMar>
              <w:top w:w="75" w:type="dxa"/>
              <w:left w:w="75" w:type="dxa"/>
              <w:bottom w:w="75" w:type="dxa"/>
              <w:right w:w="75" w:type="dxa"/>
            </w:tcMar>
          </w:tcPr>
          <w:p w14:paraId="60BAEE7A" w14:textId="1C1991C0" w:rsidR="00DE5558" w:rsidRPr="00AF7DC5" w:rsidRDefault="00C13266" w:rsidP="00DE5558">
            <w:r w:rsidRPr="00AF7DC5">
              <w:t>Ar ogļūdeņražu izpēti un ieguvi saistītie grozījumi no Likumprojekta tika izslēgti.</w:t>
            </w:r>
          </w:p>
          <w:p w14:paraId="401132AF" w14:textId="77777777" w:rsidR="00C13266" w:rsidRPr="00AF7DC5" w:rsidRDefault="00C13266" w:rsidP="00DE5558"/>
          <w:p w14:paraId="4A332CCE" w14:textId="209770B3" w:rsidR="00DE5558" w:rsidRPr="00AF7DC5" w:rsidRDefault="00DE5558" w:rsidP="00DE5558">
            <w:r w:rsidRPr="00AF7DC5">
              <w:t>4.</w:t>
            </w:r>
            <w:r w:rsidR="00742E7F" w:rsidRPr="00AF7DC5">
              <w:t xml:space="preserve"> </w:t>
            </w:r>
            <w:r w:rsidR="00C13266" w:rsidRPr="00AF7DC5">
              <w:t xml:space="preserve">Attiecībā uz 4. punktu </w:t>
            </w:r>
            <w:r w:rsidR="00996C94" w:rsidRPr="00AF7DC5">
              <w:t>VARAM nav skaidrs viedoklis. Iesniedzējs min vārdu “vairākkārt”, kurš Likumprojektā (</w:t>
            </w:r>
            <w:r w:rsidR="00833167" w:rsidRPr="00AF7DC5">
              <w:t xml:space="preserve">t.sk. iesniedzēja norādītajā 10. pantā) </w:t>
            </w:r>
            <w:r w:rsidR="00996C94" w:rsidRPr="00AF7DC5">
              <w:t xml:space="preserve">neparādās. </w:t>
            </w:r>
            <w:r w:rsidR="00742E7F" w:rsidRPr="00AF7DC5">
              <w:lastRenderedPageBreak/>
              <w:t xml:space="preserve">VARAM ieskatā Likumprojekta ietvertajā Likuma 10. panta </w:t>
            </w:r>
            <w:r w:rsidR="00833167" w:rsidRPr="00AF7DC5">
              <w:t>1.</w:t>
            </w:r>
            <w:r w:rsidR="00833167" w:rsidRPr="00AF7DC5">
              <w:rPr>
                <w:vertAlign w:val="superscript"/>
              </w:rPr>
              <w:t>1</w:t>
            </w:r>
            <w:r w:rsidR="00833167" w:rsidRPr="00AF7DC5">
              <w:t xml:space="preserve"> daļā paredzētais regulējums ir viennozīmīgs un nerada </w:t>
            </w:r>
            <w:r w:rsidR="00D26728" w:rsidRPr="00AF7DC5">
              <w:t>iespējas interpretācijai.</w:t>
            </w:r>
            <w:r w:rsidR="00EF012C" w:rsidRPr="00AF7DC5">
              <w:t xml:space="preserve"> Arī izmantotā terminoloģija</w:t>
            </w:r>
            <w:r w:rsidR="00FB6F8C" w:rsidRPr="00AF7DC5">
              <w:t xml:space="preserve">, </w:t>
            </w:r>
            <w:r w:rsidR="00841150" w:rsidRPr="00AF7DC5">
              <w:t xml:space="preserve">ietverot nosacījumu par </w:t>
            </w:r>
            <w:r w:rsidR="005D6613" w:rsidRPr="00AF7DC5">
              <w:t xml:space="preserve">atkārtotu </w:t>
            </w:r>
            <w:r w:rsidR="00841150" w:rsidRPr="00AF7DC5">
              <w:t>derīgo izrakteņu ieguvi, neievērojot zemes dzīļu izmantošanas normatīvo aktu vai zemes dzīļu izmantošanas licences prasības</w:t>
            </w:r>
            <w:r w:rsidR="005D6613" w:rsidRPr="00AF7DC5">
              <w:t>, ir viennozīmīga un skaidra</w:t>
            </w:r>
            <w:r w:rsidR="00E53F29" w:rsidRPr="00AF7DC5">
              <w:t xml:space="preserve"> un</w:t>
            </w:r>
            <w:r w:rsidR="00C2587B" w:rsidRPr="00AF7DC5">
              <w:t xml:space="preserve"> </w:t>
            </w:r>
            <w:r w:rsidR="00E53F29" w:rsidRPr="00AF7DC5">
              <w:t>vārds “</w:t>
            </w:r>
            <w:r w:rsidR="00C2587B" w:rsidRPr="00AF7DC5">
              <w:t>aktārtots</w:t>
            </w:r>
            <w:r w:rsidR="00916D01" w:rsidRPr="00AF7DC5">
              <w:t>”</w:t>
            </w:r>
            <w:r w:rsidR="00C2587B" w:rsidRPr="00AF7DC5">
              <w:t xml:space="preserve"> </w:t>
            </w:r>
            <w:r w:rsidR="00E53F29" w:rsidRPr="00AF7DC5">
              <w:t>tiek izmantots</w:t>
            </w:r>
            <w:r w:rsidR="00916D01" w:rsidRPr="00AF7DC5">
              <w:t xml:space="preserve"> arī citur Latvijas tiesību aktos un nozīmē “vairākkārtējs” jeb tāds, kas izdarīts vairāk par vienu reizi.</w:t>
            </w:r>
          </w:p>
          <w:p w14:paraId="1066F321" w14:textId="086BF60B" w:rsidR="00DE5558" w:rsidRPr="00AF7DC5" w:rsidRDefault="00DE5558" w:rsidP="00DE5558">
            <w:r w:rsidRPr="00AF7DC5">
              <w:t>5.</w:t>
            </w:r>
            <w:r w:rsidR="007F500C" w:rsidRPr="00AF7DC5">
              <w:t xml:space="preserve"> Sk. informāciju pie Latvijas Kūdras asociācijas atzinuma 3. punkta.</w:t>
            </w:r>
          </w:p>
          <w:p w14:paraId="4F72215F" w14:textId="64EC1604" w:rsidR="00DE5558" w:rsidRPr="00AF7DC5" w:rsidRDefault="00DE5558" w:rsidP="00DE5558">
            <w:r w:rsidRPr="00AF7DC5">
              <w:t>6.</w:t>
            </w:r>
            <w:r w:rsidR="006B6581" w:rsidRPr="00AF7DC5">
              <w:t xml:space="preserve"> Viedoklis nav pamatots un nav sniegti argumenti piedāvātajiem precizējumiem Likumprojektā.</w:t>
            </w:r>
          </w:p>
          <w:p w14:paraId="09E01438" w14:textId="7E02DC6D" w:rsidR="00DE5558" w:rsidRPr="00AF7DC5" w:rsidRDefault="00DE5558" w:rsidP="00DE5558"/>
        </w:tc>
      </w:tr>
      <w:tr w:rsidR="009D7B1D" w:rsidRPr="00AF7DC5" w14:paraId="5DA6F65E" w14:textId="77777777" w:rsidTr="00800E8E">
        <w:tc>
          <w:tcPr>
            <w:tcW w:w="750" w:type="dxa"/>
            <w:shd w:val="clear" w:color="auto" w:fill="FFFFFF" w:themeFill="background1"/>
            <w:noWrap/>
            <w:tcMar>
              <w:top w:w="75" w:type="dxa"/>
              <w:left w:w="75" w:type="dxa"/>
              <w:bottom w:w="75" w:type="dxa"/>
              <w:right w:w="75" w:type="dxa"/>
            </w:tcMar>
            <w:vAlign w:val="center"/>
          </w:tcPr>
          <w:p w14:paraId="1E61F4AD" w14:textId="0A2B42AA" w:rsidR="009D7B1D" w:rsidRPr="00AF7DC5" w:rsidRDefault="00E72276">
            <w:pPr>
              <w:jc w:val="center"/>
            </w:pPr>
            <w:r w:rsidRPr="00AF7DC5">
              <w:lastRenderedPageBreak/>
              <w:t>8</w:t>
            </w:r>
            <w:r w:rsidR="009D7B1D" w:rsidRPr="00AF7DC5">
              <w:t>.</w:t>
            </w:r>
          </w:p>
        </w:tc>
        <w:tc>
          <w:tcPr>
            <w:tcW w:w="2505" w:type="dxa"/>
            <w:shd w:val="clear" w:color="auto" w:fill="FFFFFF" w:themeFill="background1"/>
            <w:noWrap/>
            <w:tcMar>
              <w:top w:w="75" w:type="dxa"/>
              <w:left w:w="75" w:type="dxa"/>
              <w:bottom w:w="75" w:type="dxa"/>
              <w:right w:w="75" w:type="dxa"/>
            </w:tcMar>
            <w:vAlign w:val="center"/>
          </w:tcPr>
          <w:p w14:paraId="2EF45050" w14:textId="601064D6" w:rsidR="009D7B1D" w:rsidRPr="00AF7DC5" w:rsidRDefault="009D7B1D">
            <w:pPr>
              <w:jc w:val="left"/>
            </w:pPr>
            <w:r w:rsidRPr="00AF7DC5">
              <w:t>Baltijas ogļūdeņražu izpētes un ieguves asociācija</w:t>
            </w:r>
          </w:p>
        </w:tc>
        <w:tc>
          <w:tcPr>
            <w:tcW w:w="5806" w:type="dxa"/>
            <w:shd w:val="clear" w:color="auto" w:fill="FFFFFF" w:themeFill="background1"/>
            <w:noWrap/>
            <w:tcMar>
              <w:top w:w="75" w:type="dxa"/>
              <w:left w:w="75" w:type="dxa"/>
              <w:bottom w:w="75" w:type="dxa"/>
              <w:right w:w="75" w:type="dxa"/>
            </w:tcMar>
            <w:vAlign w:val="center"/>
          </w:tcPr>
          <w:p w14:paraId="6DB9E121" w14:textId="39C50873" w:rsidR="009D7B1D" w:rsidRPr="00AF7DC5" w:rsidRDefault="009D7B1D" w:rsidP="00497907">
            <w:r w:rsidRPr="00AF7DC5">
              <w:t xml:space="preserve">Baltijas ogļūdeņražu izpētes un ieguves asociācija, turpmāk – Asociācija, ir saņēmusi Vides aizsardzības un reģionālās attīstības ministrijas, turpmāk – VARAM, 28.09.2022. sūtīto elektronisko vēstuli un iepazinusies ar precizēto likumprojektu "Grozījumi likumā "Par zemes dzīlēm"" (22-TA-2212), turpmāk – Likumprojekts. Iepazīstoties ar Likumprojektu, Asociācija vēlas atkārtoti sniegt atzinumu un priekšlikumus, jo ir secināms, ka tā izstrādātāji – VARAM un Ekonomikas ministrija, turpmāk – EM, joprojām nav novērsušas būtiskāko defektu un nav nodrošinājušas ogļūdeņražu izpētes un ieguves </w:t>
            </w:r>
            <w:r w:rsidRPr="00AF7DC5">
              <w:lastRenderedPageBreak/>
              <w:t xml:space="preserve">nepārtrauktību. Minētais uzdevums nav izpildīts jau vairāk kā 9 gadus, kopš brīža, kad tika uzdots Latvijas Republikas 11. Saeimas Tautsaimniecības, agrārās, vides un reģionālas politikas komisijas sēdē 2013.gada 7.maijā un ir dokumentēts attiecīgajā protokolā. Deviņu gadu laikā gan Asociācija, gan tās piesaistītie eksperti neskaitāmas reizes bezrezultatīvi VARAM, EM un citām institūcijām ir skaidrojuši ogļūdeņražu urbumu darbības tehnoloģisko procesu, tā nepārtrauktas darbības pamatlosacījumu neatgriezenisku procesu novēršanai. Likumprojekta izstrādātājiem nepieciešams nodrošināt tehniski izpildāmas birokrātiskās procedūras. Diemžēl, spēkā esošais normatīvais regulējums nosaka termiņus un sankcijas tikai komersantiem, bet ne valsts institūcijām, tādēļ ir izveidojusies situācija, ka var bezgalīgi pārlikt vai pagarināt termiņus dokumentu izskatīšanai, lēmumu pieņemšanai un atkārtoti jaunu nosacījumu izvirzīšanai, kā piemēram ietekmes uz vidi novērtējuma, Piesārņojuma atļaujas izsniegšanas procedūrā un ogļūdeņražu ieguves plānu apstiprināšanā. Faktiski sods par valsts institūciju apzinātu vai neapzinātu neizdarību tiek “pārlikts” uzlikts komersantiem. Likumprojekts šo problēmu nerisina, bet tieši otrādi – pasliktina. No augstāk minētā ir secināms, ka Valsts kontrole vai </w:t>
            </w:r>
            <w:r w:rsidRPr="00AF7DC5">
              <w:lastRenderedPageBreak/>
              <w:t xml:space="preserve">nav “pamanījusi” šo problēmu, vai arī izvēlējusies to “atrisināt” uz komersantu rēķina tieši sodot par to komersantu, tajā skaitā, piemēram, apturot ogļūdeņražu izpētes un ieguves licenci, kas pēc būtības nozīmē ogļūdeņražu izpētes un ieguves neiespējamību. [1] Asociācija iebilst Likumprojekta priekšlikumam likumā “Par zemes dzīlēm” 4.pantā aizstāt un papildināt ceturtajā daļā vārdu “anulēšanas” ar vārdiem “apturēšanas un atcelšanas”, jo nevis Ministru kabineta noteikumi nosaka gadījumus, kad licence (atļauja) būtu atceļama vai apturama, bet to regulē likuma “Par zemes dzīlēm” normas. Proti, Ministru kabineta noteikumu regulējums nevar būt plašāks, kā tas noteikts likumā. 2 Priekšlikums - likuma “Par zemes dzīlēm” 4.panta ceturtajā daļā “aizstāt un papildināt ceturtajā daļā vārdu “anulēšanas” ar vārdiem “apturēšanas un atcelšanas”” neatbilst Ministru kabineta 03.02.2009. noteikumiem Nr.108 “Normatīvo aktu projektu sagatavošanas noteikumi” un nevar ietver pilnvarojumu Ministru kabinetam likumprojekta izpildes nodrošināšanai (45.punkts). Tas ir, ja likumā "Par zemes dzīlēm"" nav paredzēti gadījumi, kad licence vai atļauja būtu anulējama un/vai apturama, tad nevar ietvert likumā Ministru kabinetam pilnvarojumu nodrošināt tā izpildījumu. Likumprojektā neietver pilnvarojumu Ministru kabinetam izdot </w:t>
            </w:r>
            <w:r w:rsidRPr="00AF7DC5">
              <w:lastRenderedPageBreak/>
              <w:t xml:space="preserve">noteikumus jautājumā, kas nav ietverts likumprojektā (46.punkts). No licenciāta (zemes dzīļu izmantotāja) tiesību aizsardzības viedokļa tikai ar likuma normām var noteikt gadījumus, kādā licence vai atļauja var tikt apturēta vai atcelta, tādēļ ir jāizvairās no tādiem gadījumiem, kad Ministru kabinetam būtu piešķirams pilnvarojums, kas vērsts uz licenciāta (zemes dzīļu izmantotāja) tiesību ierobežošanu. Ar Likumprojekta ieceri tiek apdraudēts varas dalīšanas princips un līdz ar to arī demokrātiskas valsts iekārtas būtība. Papildus tam: 1) iztrūkst pamatojums, kuru dēļ būtu atbalstāms priekšlikums grozīt likuma “Par zemes dzīlēm” 4.panta ceturto daļu, aizstājot un papildinot ceturto daļu ar vārdiem “apturēšanas un atcelšanas”, Likumprojekta grozījumu priekšlikums nedrīkst būt patvaļīgs vai pieņemts katram gadījumam; 2) likuma “Par zemes dzīlēm” 16.pants nosaka gadījumus, kad licence var tikt apturēta vai atcelta un šī iemesla dēļ deleģējums Ministru kabinetam izdot jaunus noteikumus, kad licence (atļauja) var tikt apturēta vai atcelta, ir nevajadzīgs un neatbilstošs. Šādu deleģējumu nevar pamatot un sasaistīt ar Valsts kontroles ieteikumiem par kontroles normu pastiprināšanu ogļūdeņražu izpētes un ieguves nozarei. Kontrole nenozīmē dot Ministru kabinetam pilnvarojumu noteikt gadījumus, kādos būtu anulējama vai apturama </w:t>
            </w:r>
            <w:r w:rsidRPr="00AF7DC5">
              <w:lastRenderedPageBreak/>
              <w:t xml:space="preserve">licence, kas piešķir tiesības izmantot zemes dzīles noteiktās robežās un noteiktu laiku. Likumprojektā iekļautais priekšlikums ir pretrunā ar Likumprojekta anotāciju. Asociācijas priekšlikums: 1. izslēgt Likumprojekta 3.punktu, kas paredz 4.pantā aizstāt un papildināt ceturtajā daļā vārdu “anulēšanas” ar vārdiem “apturēšanas un atcelšanas””; 2. izteikt likuma “Par zemes dzīlēm” 4.panta ceturto daļu sekojošā redakcijā: “(4) Ministru kabinets nosaka ogļūdeņražu licenču laukumus, nosacījumus ogļūdeņražu meklēšanas, izpētes un ieguves licences saņemšanai, tās izsniegšanas un izmantošanas uzraudzības kārtību”. [2] Ir nepareizs Likumprojekta priekšlikums likuma “Par zemes dzīlēm” 7.pantā izteikt 3. punktu šādā redakcijā: “3) derīgo izrakteņu (izņemot ogļūdeņražu) ieguve;” un papildināt ar 6. punktu šādā redakcijā: “6) ogļūdeņražu meklēšana, izpēte un ieguve”, jo tas nonāk pretrunā ar likuma “Par zemes dzīlēm” 1.panta 7. un 9.punktu, kas paredz terminus “derīgo izrakteņu izpēte” un “derīgo izrakteņu meklēšana”. No zemes dzīļu izmantošanas veidiem nav jāizslēdz derīgo izrakteņu meklēšanu un izpēti un nav nepieciešamības izcelt ogļūdeņražu meklēšanu, izpēti un ieguvi kā atsevišķu zemes dzīļu izmantošanas veidu. Atbilstoši likuma “Par zemes dzīlēm” 1.panta 17.punktam ogļūdeņraži </w:t>
            </w:r>
            <w:r w:rsidRPr="00AF7DC5">
              <w:lastRenderedPageBreak/>
              <w:t xml:space="preserve">(neapstrādāta nafta (jēlnafta) un dabasgāze) ir valsts nozīmes derīgais izraktenis. Izvērtējot Likumprojekta priekšlikumu par grozījumiem likuma “Par zemes dzīlēm” 7.pantā, Asociācija saskata problemātiku likuma “Par zemes dzīlēm” terminu lietojumā un saturā. 3 To ievērojot, Asociācijas priekšlikums ir: 3. izslēgt no Likumprojekta 5.punkta vārdus: “papildināt ar 6. punktu šādā redakcijā: “6) ogļūdeņražu meklēšana, izpēte un ieguve”. [3] Asociācija iebilst pret Likumprojekta priekšlikumu – likuma “Par zemes dzīlēm” 8.panta pirmās daļas 3.punkta pirmā teikuma redakciju: “persona, kas ar zemes īpašnieku vai pilnvaroto personu noslēgusi līgumu, kurā norādīts zemes dzīļu izmantošanas veids, līdz brīdim kamēr līgums ir spēkā”. Zemes īpašnieku var pārstāvēt ne tikai pilnvarota persona, bet arī likumiskais pārstāvis (piemēram, aizbildnis kā nepilngadīgā pārstāvis). Attiecīgi likumā nevajadzētu iekļaut pārstāvības tiesības, kas izriet no līgumiskām vai likumiskām attiecībām un piešķir tiesības slēgt darījumus zemes īpašnieka vārdā. Tas pats ir attiecināms uz vārdiem “līdz brīdim kamēr līgums ir spēkā”, jo no 8.panta pirmās daļas otrā teikuma izriet, ka līgums ir obligāts priekšnoteikums zemes dzīļu izmantošanas licences saņemšanai. Tas nozīmē, ja līgums nav spēkā, tad nepastāv priekšnoteikums </w:t>
            </w:r>
            <w:r w:rsidRPr="00AF7DC5">
              <w:lastRenderedPageBreak/>
              <w:t xml:space="preserve">zemes dzīļu izmantošanas licences saņemšanai. Ņemot vērā minēto, Asociācijas priekšlikums ir: 4. izteikt Likumprojekta 8.panta pirmās daļas 3.punkta pirmo teikumu šādā redakcijā: “3) persona, kas ar zemes īpašnieku vai pilnvaroto personu noslēgusi līgumu, kurā norādīts zemes dzīļu izmantošanas veids”. [4] Asociācija lūdz likuma “Par zemes dzīlēm” 14. panta 8. punktu atstāt esošajā redakcijā. Nav pamatojuma uzlikt komersantam par pienākumu rekultivēt tās platības, kas atrodas ārpus licences laukuma, it sevišķi kas tiek pamatota ar trešās personas iespējami subjektīvi saņemtu sūdzību. Faktiski grozījumi veicina neierobežotu vēršanos pret komersantiem, kas strādā jebkādu derīgo izrakteņu ieguves jomā. Tas nozīmē, ka blakus esošajiem zemes īpašniekiem būs iespēja jebkura, arī subjektīva iemesla dēļ vērsties pret komersantu. Papildus arī kontrolējošo institūciju amatpersonām parādās iespēja subjektīvai informācijas interpretācijai, ņemot vērā, ka tām nav ne izglītības, ne pieredzes ogļūdeņražu izpētes un ieguves jomā. Jāņem vērā arī apelācijas sūdzību par kontrolējošo institūciju pieņemtajiem lēmumiem skaita palielinājumu, apelācijas institūcijas un tiesu sistēmas kapacitāti - spēju izskatīt un izvērtēt kontrolējošo institūciju izdoto administratīvo aktu likumisko pamatu. Tas nozīmē </w:t>
            </w:r>
            <w:r w:rsidRPr="00AF7DC5">
              <w:lastRenderedPageBreak/>
              <w:t xml:space="preserve">ne tikai iespējamu komersantu līdzekļu nepamatotu izlietojumu blakus esošo zemju nepamatotai rekultivācijai, bet arī valsts budžeta līdzekļu izšķērdēšanu pārbaudēm, pārbaužu rezultātu izvērtēšanai un citām darbībām. Papildus jānorāda, ka virkne citu normatīvo aktu paredz rīcību piesārņojuma vai arī cita īpašuma bojājuma gadījumā. Ņemot vērā, ka Likumprojekta mērķis norādīts – administratīvā sloga samazināšana, konkrētajā gadījumā normatīvie akti tiks dubultoti. 5. svītrot Likumprojekta grozījumus 14. panta 8. punktā un saglabāt esošo redakciju: “uz sava rēķina rekultivēt zemes dzīļu izmantošanas rezultātā radušos zemes gabala bojājumus atļaujā vai licencē norādītajā termiņā;” [5] Ievērojot likuma “Par zemes dzīlēm” 1.panta terminus, Asociācija izsaka priekšlikumu Likumprojekta 7.punktā, kas paredz 9.pantā izteikt pirmās daļas 3.punktu un 6.punktu jaunā redakcijā, veikt grozījumus: 6. izteikt pirmās daļas 3. punktu šādā redakcijā: “3) derīgo izrakteņu un valsts nozīmes derīgo izrakteņu meklēšanai – uz laiku līdz pieciem gadiem;”; 7. izteikt pirmās daļas 6. punktu šādā redakcijā: “6) valsts nozīmes derīgo izrakteņu izpētei un ieguvei – uz laiku līdz 50 gadiem;”; 4 8. izteikt pirmās daļas 5.punktu šādā redakcijā: “5) derīgo izrakteņu ieguvei (izņemot šā panta 6. un 7. punktā minēto) vai zemes dzīļu derīgo īpašību izmantošanai — uz laiku līdz 25 </w:t>
            </w:r>
            <w:r w:rsidRPr="00AF7DC5">
              <w:lastRenderedPageBreak/>
              <w:t xml:space="preserve">gadiem;”. Asociācija norāda, ka valsts nozīmes derīgo izrakteņu ieguvei ir nosakāms termiņš līdz 50 gadiem, jo valsts nozīmes derīgo izrakteņu ieguvei ir lielāka nozīme, nekā pārējiem derīgiem izrakteņiem, jo to ieguve veicina tautsaimniecības ilgtspējīgu attīstību. Atšķirībā no valsts nozīmes derīgiem izrakteņiem, visiem citiem derīgajiem izrakteņiem, ir skaidri saprotamas ieguves izmaksas, izmantošanas iespējas, tirgus, cena, tas ir, derīgie izrakteņi pieder pie izmantojamiem resursiem kā izmantošanu var uzsākt uzreiz pēc ieguves. Savukārt, tādiem valsts nozīmes derīgiem izrakteņiem, kā ogļūdeņraži vai kristāliskā pamatklintāja ieži, ieguves process nenoslēdzas ar to atdalīšanu no to dabiskās vides un tos nav iespējams pārdot galapatērētājam uzreiz pēc ieguves. Esošā likuma “Par zemes dzīlēm” 9.panta pirmās daļas 6.punkta redakcija neatbilst darbībām, kas tiek veiktas ar mērķi veikt ogļūdeņražu ieguvi pēc iespējas ātrāk, un uz šā likuma pamata izdotajiem Ministru kabineta 22.12.2015. noteikumiem Nr.805 “Noteikumi par ogļūdeņražu meklēšanu, izpēti un ieguvi”. Konkrēti - saskaņā ar noteikumu 178.punktu licenciāts drīkst uzsākt ogļūdeņražu ieguvi sauszemē pēc urbumu un citu ogļūdeņražu ieguvei izmantojamo būvju būvniecības pabeigšanas un nodošanas ekspluatācijā, tai skaitā pirms </w:t>
            </w:r>
            <w:r w:rsidRPr="00AF7DC5">
              <w:lastRenderedPageBreak/>
              <w:t xml:space="preserve">minimālās ogļūdeņražu izpētes programmas izpildes pilnā apjomā. Šī tiesību norma tika pieņemta, lai nodrošinātu ogļūdeņražu urbumu darbības nepārtrauktību. Attiecīgi likuma “Par zemes dzīlēm” 9.panta pirmās daļas 6.punkta redakcija ir neatbilstoša faktiskajām darbībām un neveicina ogļūdeņražu ieguvi, t.sk. ogļūdeņražu urbumu nepārtrauktu ekspluatāciju, Ievērojot augstākminēto, Asociācija lūdz izteikt likuma “Par zemes dzīlēm” 9.panta pirmās daļas 6.punktu šādā redakcijā: “6) ogļūdeņražu izpētei un ieguvei – uz laiku līdz 50 gadiem;”. [6] Asociācija iebilst pret Likumprojekta 8.punktā priekšlikumu papildināt likuma “Par zemes dzīlēm” 10.pantu ar 1.1daļu, kas paredz gadījumus, kad var atteikt izsniegt zemes dzīļu izmantošanas licenci vai pagarināt jau izsniegtās licences termiņu. Asociācija piekrīt, ka nav atļauta prettiesiska derīgo izrakteņu ieguve, neievērojot zemes dzīļu normatīvo aktu vai zemes dzīļu izmantošanas licences prasības. Tomēr Likumprojekts nepaskaidro, ko nozīmē prettiesiska rīcība (ieguve) un nepieļauj individuālu izvērtējumu (piemēram, nodarījuma sastāvs bija formāls, kaitējums netika nodarīts vai nodarītais kaitējums tika pilnībā atlīdzināts, vai arī sodāmība ir dzēsta). Vārds “prettiesisks” nav paskaidrots, tātad radīsies iespēja subjektīvām interpretācijām. Minētais Likumprojektā iekļautais </w:t>
            </w:r>
            <w:r w:rsidRPr="00AF7DC5">
              <w:lastRenderedPageBreak/>
              <w:t xml:space="preserve">priekšlikums nav izdiskutēts un var radīt kļūdas tiesības normas piemērošanā. Ir arī saskatāms, ka šādi juridiskai vai fiziskai personai tiek noteikts papildus sods jeb dubulta sodīšana. Piemēram, ja Administratīvās atbildības likuma 24.panta trešā daļa nosaka, ka persona atzīstama par administratīvi nesodītu gadu pēc soda izpildes, Administratīvās sodāmības dzēšanas termiņu skaita no dienas, kad pilnībā ir izpildīts pamatsods un papildsods. Tad vadoties no Likumprojekta 10.panta 1.1 daļas personai pēc sodāmības dzēšanas kā papildsods var būt atteikums izsniegt zemes dzīļu izmantošanas licenci. Asociācijas ieskatā, sods / papildsods / papildus sankcijas par prettiesisku derīgo izrakteņu ieguvi, neievērojot zemes dzīļu normatīvo aktu vai zemes dzīļu izmantošanas licences prasības, nav risināms Likumprojekta ietvaros, bet gan nosakāms citu normatīvo aktu ietvaros. Pie kam, saskaņā ar likuma “Par zemes dzīlēm” 13.panta 5.punktu saņemt licences termiņa pagarinājumu vai jaunu licenci var, ja ir pienācīgi pildīti iepriekšējās licences nosacījumi un ja to pieļauj ar zemes īpašnieku noslēgtais zemes dzīļu izmantošanas līgums. No minētā arī izriet zemes dzīļu izmantotāja tiesības un pienākumi, saņemot licences termiņa pagarinājumu vai jaunu 5 licenci. 9. izslēgt no Likumprojekta 8.punkta ierosinājumu </w:t>
            </w:r>
            <w:r w:rsidRPr="00AF7DC5">
              <w:lastRenderedPageBreak/>
              <w:t xml:space="preserve">papildināt likuma “Par zemes dzīlēm” 10.pantu ar 1.1daļu. [7] Ievērojot iepriekš norādīto, ka likumā “Par zemes dzīlēm” nevajadzētu iekļaut pārstāvības tiesības, kas izriet no līgumiskām vai likumiskām attiecībām un piešķir tiesības slēgt darījumus zemes īpašnieka vārdā, Asociācijas priekšlikums ir: 10. izteikt Likumprojekta 12.punktā – likuma “Par zemes dzīlēm” 13.panta 5.punktu šādā redakcijā: “5) saņemt licences termiņa pagarinājumu, jaunu licenci vai licenci iepriekš izsniegtās atļaujas vietā, ja ir pienācīgi pildīti iepriekšējās atļaujas vai licences nosacījumi un ja to pieļauj ar zemes īpašnieku noslēgtais zemes dzīļu izmantošanas līgums.” [8] No Likumprojekta redakcijas var izdarīt secinājumus, ka Likumprojektā tiek iecerēts risināt arī civiltiesiskus jautājumus, t.sk. ārpus derīgo izrakteņu ieguves vietām. Asociācija nepiekrīt, ka zemes dzīļu izmantotāju pienākums ir arī zemes gabala un inženierbūvju radīto bojājumu novēršana ārpus derīgo izrakteņu ieguves licences laukuma. Iekļaujot šādus grozījumus, zemes dzīļu izmantotājam var nākties novērst pat tādus bojājumus, kura nodarīšanā tas nav vainojams. Piemēram, pašvaldības ieskatā, zemes dzīļu izmantotajām būs jānovērš pašvaldības ceļa bojājumus līdz savienojumam ar valsts ceļu, jo tas tika izmantots piekļūšanai derīgo izrakteņu </w:t>
            </w:r>
            <w:r w:rsidRPr="00AF7DC5">
              <w:lastRenderedPageBreak/>
              <w:t xml:space="preserve">ieguves licences laukumam un ir bojāts. Papildus tam, Likumprojekta priekšlikums nenosaka termiņa ierobežojumus un tas nozīmē, ka zemes dzīļu izmantotāja pienākums var pastāvēt arī pēc vairākiem gadiem pēc tam, kad ir pabeigta zemes dzīļu izmantošana, t.sk. rekultivācijas darbi. Ņemot vērā minēto un, ka līdzšinējā likuma “Par zemes dzīlēm” 14.panta 8.punkta redakcija skaidri noteikti nosaka zemes dzīļu izmantotāja pienākumu uz sava rēķina rekultivēt zemes dzīļu izmantošanas rezultātā radušos zemes gabala bojājumus atļaujā vai licencē norādītajā termiņā, Asociācija lūdz 11. izslēgt no Likumprojekta 13.punkta priekšlikumu izteikt 8.punktu jaunā redakcijā. Atstāt Likumā esošo redakciju: “uz sava rēķina rekultivēt zemes dzīļu izmantošanas rezultātā radušos zemes gabala bojājumus atļaujā vai licencē norādītajā termiņā;” [9] Sakarā ar to, ka ar Likumprojektu tiek precizēts likuma “Par zemes dzīlēm” 16.pants, Asociācija izsaka priekšlikumu mainīt 16.panta sestās daļas redakciju. Ir zināms, ka administratīvā akta apstrīdēšanas institūtam ir vairāki uzdevumi. Tas ir viens no procesuālajiem instrumentiem, kas ļauj privātpersonai izmantot savu tiesību aizsardzības iespēju un dod iespēju valsts pārvaldei pašai vēlreiz pārbaudīt sava lēmuma tiesiskumu un novērst kļūdas. Administratīvā procesa likuma 76.panta otrā daļa </w:t>
            </w:r>
            <w:r w:rsidRPr="00AF7DC5">
              <w:lastRenderedPageBreak/>
              <w:t xml:space="preserve">paredz, ka administratīvo aktu var apstrīdēt padotības kārtībā augstākā iestādē un atbilstoši šā likuma 80.panta pirmajai daļai iesniegums par administratīvā akta apstrīdēšanu aptur tā darbību no dienas, kad iesniegums saņemts iestādē, izņemot šā likuma 360.panta otrajā un trešajā daļā, kā arī gadījumos, kad iesniegumu iesniedzis labvēlīga administratīvā akta adresāts, lai panāktu vēl labvēlīgāka administratīvā akta izdošanu, vai ja iesniegums iesniegts par vispārīgo administratīvo aktu. To ievērojot, Asociācijas priekšlikums ir: 12. Izteikt likuma “Par zemes dzīlēm” 16.panta pirmo daļu izteikt šādā redakcijā: “(1) Valsts vides dienests vai Būvniecības valsts kontroles birojs var pieņem lēmumu par zemes dzīļu izmantošanas ierobežošanu vai apturēšanu, ja tas konstatē, ka tiek pārkāptas zemes dzīļu izmantošanas licences, bieži sastopamo derīgo izrakteņu ieguves atļaujas vai zemes dzīļu izmantošanu regulējošo normatīvo aktu prasības, kā arī tad, ja zemes dzīļu izmantošanas rezultātā 6 rodas draudi cilvēka veselībai, videi vai īpašumam. Valsts vides dienesta lēmumu var apstrīdēt Vides pārraudzības valsts birojā. Vides pārraudzības valsts biroja lēmumu var pārsūdzēt tiesā Administratīvā procesa likumā noteiktajā kārtībā. Būvniecības valsts kontroles biroja lēmumu var pārsūdzēt tiesā Administratīvā procesa likumā noteiktajā </w:t>
            </w:r>
            <w:r w:rsidRPr="00AF7DC5">
              <w:lastRenderedPageBreak/>
              <w:t xml:space="preserve">kārtībā.”. 13. Izteikt likuma “Par zemes dzīlēm” 16.panta trešās daļas ievaddaļu šādā redakcijā: “(3) Zemes dzīļu izmantošanas licenci tās izsniedzējs var atceļ vai bieži sastopamo derīgo izrakteņu ieguves atļauju Valsts vides dienests var atceļ, ja licences vai atļaujas adresāts:”. 14. likuma “Par zemes dzīlēm” 16.panta sesto daļu izteikt šādā redakcijā: “(6) Iesnieguma iesniegšana šajā pantā noteiktā lēmuma par zemes dzīļu izmantošanas ierobežošanu vai apturēšanu vai zemes dzīļu izmantošanas licences vai bieži sastopamo derīgo izrakteņu ieguves atļaujas atcelšanu apstrīdēšanai vai pieteikuma iesniegšana tiesā par šāda lēmuma atcelšanu, spēkā esamību vai atzīšanu par prettiesisku aptur šā lēmuma darbību”. [10] Komerclikuma 1.panta otrā daļa noteic, ka komercdarbība ir atklāta saimnieciskā darbība, kuru savā vārdā peļņas gūšanas nolūkā veic komersants. Savukārt šā likuma 4.panta trešā daļa nosaka, ka likumā var būt noteikta atsevišķu veidu komercdarbība, kuras veikšanai nepieciešama atļauja (licence) vai arī kuru drīkst veikt komersants atbilstoši likumā noteiktajām prasībām. Saskaņā ar likuma “Par zemes dzīlēm” 1.pantu: 22) zemes dzīļu izmantošanas licence ir administratīvais akts, kas tā adresātam piešķir tiesības izmantot zemes dzīles noteiktās robežās, noteiktā veidā un noteiktu laiku, ievērojot licences </w:t>
            </w:r>
            <w:r w:rsidRPr="00AF7DC5">
              <w:lastRenderedPageBreak/>
              <w:t xml:space="preserve">noteikumus.; 6) derīgo izrakteņu ieguve — darbu komplekss derīgo izrakteņu atdalīšanai no to dabiskās vides; 15) ogļūdeņraži — neapstrādāta nafta (jēlnafta), dabas gāze un gāzes kondensāti; 156 ) punktu ogļūdeņražu ieguve — ogļūdeņražu atdalīšana no to dabiskās vides, lai gūtu peļņu no šo ogļūdeņražu pārdošanas; 155 ) eksperimentālā ogļūdeņražu ieguve — ogļūdeņražu izpētes laikā veikta to sūknēšana no ogļūdeņražu izpētes urbuma, ogļūdeņražu sastāva un kvalitātes testēšana, lai noteiktu ogļūdeņražu iegulas lielumu, to sastāvu, kā arī efektīvāko piemērojamo tehnoloģiju ogļūdeņražu ieguvei; 17) valsts nozīmes derīgie izrakteņi — ogļūdeņraži (neapstrādāta nafta (jēlnafta) un dabasgāze), pazemes ūdeņi (saldūdeņi, minerālūdeņi, termālie ūdeņi un rūpniecībā izmantojamie ūdeņi) un kristāliskā pamatklintāja ieži. No augstāk minētā izriet, ka tikai ogļūdeņraži tiek atdalīti no to dabiskās vides, lai gūtu peļņu, vai arī ogļūdeņražu ieguve ir pielīdzināma komercdarbības definīcijai, kuras veikšanai nepieciešama licence. Izvērtējot citu valstu ogļūdeņražu (naftas) tiesisko regulējumu, Asociācija ir secinājusi, ka nevienā citā valstī ar likumu nav noteikts, ka ogļūdeņražu (naftas) ieguve ir ogļūdeņražu atdalīšana no to dabiskās vides, lai gūtu peļņu no šo ogļūdeņražu pārdošanas. Ne peļņa, ne arī jēlnaftas pārdošana </w:t>
            </w:r>
            <w:r w:rsidRPr="00AF7DC5">
              <w:lastRenderedPageBreak/>
              <w:t xml:space="preserve">nav ogļūdeņražu ieguve. Ogļūdeņražu ieguve tiek definēta kā organisko vielu (jēlnaftas) atdalīšanas (separācijas) process, izmantojot dažādas mehāniskas un ķīmiskās metodes vai arī kā tehnoloģisko un ražošanas darbu komplekss, kura mērķis ir iegūt jēlnaftu no zemes dzīlēm uz zemes virsmu. To ievērojot, ir nepieciešams labot ogļūdeņražu ieguves definīciju atbilstoši darbībām, kas tiek veiktas neapstrādātas naftas (jēlnaftas) atdalīšanai no tās dabiskās vides. 7 Asociācijas priekšlikums ir: 15. izteikt likuma “Par zemes dzīlēm” 1.panta 156 ) punktu šādā redakcijā: “156 ) ogļūdeņražu ieguve – tehnoloģisku darbu komplekss, ogļūdeņražu atdalīšanai no zemes apakšslāņiem”. Likumprojekta izziņā VARAM nav norādījusi pamatojumu augstākminētā priekšlikuma noraidījumam. Iepriekšējā anotācijā VARAM aizbildinājās ar laika un resursu trūkumu terminoloģijas izvērtēšanai. Jānorāda, ka kvalitatīva Likumprojekta un tā grozījumu izstrāde ir tieši VARAM kompetence un atbildība, tāpēc tieši VARAM šī problēma ir jāidentificē un jānovērš savlaicīgi. Nav pieļaujams, ka VARAM atzīst problemātiku, bet nerisina to. Ja VARAM trūkst nepieciešamo resursu jautājuma risināšanai, Asociācija piedāvā palīdzību ekspertu kompetentu pieaicināšanā. Asociācija kategoriski iebilst pret </w:t>
            </w:r>
            <w:r w:rsidRPr="00AF7DC5">
              <w:lastRenderedPageBreak/>
              <w:t xml:space="preserve">augstākminētajiem grozījumiem Likumprojektā, tai skaitā ietvertajam priekšlikumam 4.pantā aizstāt un papildināt ceturtajā daļā vārdu “anulēšanas” ar vārdiem “apturēšanas un atcelšanas” un uzsver, ka minētais punkts Likumprojektā var radīt neatgriezeniskas sekas nozarei. Diemžēl, ievērojot pieredzi konkrētajā nozarē, īpaši pēdējo piecu gadu laikā, plaši novērots, ka praktiski viena ierēdņa apzinātas vai nepazinātas rīcības dēļ – kļūdainas izpratnes, interpretācijas vai kompetences trūkuma dēļ par notiekošajiem procesiem, iespējama licenciāta darbības paralizēšana. Rezultātā rodas situācija, kad Likumprojekta mērķis neattaisnos iespējamos zaudējumus tā pieņemšanas rezultātā. Jau šobrīd normatīvajos aktos ir noteikta atbildība par zaudējumu nodarīšanu videi, tāpēc nav pamatojuma dublēt normatīvos aktus tieši ogļūdeņražu izpētei un ieguvei, jo šīs nozares darbam ir salīdzinoši zems risks, ievērojot Latvijā iespējamos niecīgos iegūstamos ogļūdeņražu apjomus. Ievērojot, ka Likumprojekta mērķis norādīts administratīvā sloga samazināšana, Asociācija lūdz skaidrot kā tieši tiek samazināts šis slogs, ja Likumprojekta 3. punkts paredz dubultotot un trīskāršot administratīvo slogu. Likumprojektā ir paredzēts, ka zemes dzīļu pārraudzību īstenos neskaitāmasinstitūcijas, tai </w:t>
            </w:r>
            <w:r w:rsidRPr="00AF7DC5">
              <w:lastRenderedPageBreak/>
              <w:t xml:space="preserve">skaitā Būvniecības valsts kontroles birojs, Valsts vides dienests u.c. Papildus, esošajā redakcijā, Likumprojekts uzdod šos pienākumus paralēli veikt vēl arī vietējām pašvaldībām, kurām savā teritorijā būs jāpārrauga būvniecības objektos iegūto un izmantoto dabas resursu apriti, būs jānodrošina un jāpārrauga derīgo izrakteņu ieguves vietu rekultivāciju. Jautājums kāpēc pašvaldībām būtu jāveic valsts institūciju pienākumus? </w:t>
            </w:r>
            <w:r w:rsidR="00AA7FC3" w:rsidRPr="00AF7DC5">
              <w:rPr>
                <w:lang w:val="en-US"/>
              </w:rPr>
              <w:t xml:space="preserve">Asociācija nepiekrīt grozījumiem </w:t>
            </w:r>
            <w:r w:rsidR="00AA7FC3" w:rsidRPr="00AF7DC5">
              <w:rPr>
                <w:u w:val="single"/>
                <w:lang w:val="en-US"/>
              </w:rPr>
              <w:t>Likuma 4.panta piektajā daļā un lūdz saglabāt likuma esošo redakciju, kā arī svītrot Likumprojekta 6.panta piekto daļu</w:t>
            </w:r>
            <w:r w:rsidRPr="00AF7DC5">
              <w:t>. Papildus saimnieciska rakstura darbības ar derīgajiem izrakteņiem būvdarbu ietvaros nav nosakāmas. Nav pamatojuma privātpersonām un komersantiem, kas veic būvdarbus, uzlikt par pienākumu veikt derīgo izrakteņu ieguvi. Būvdarbu procesā iegūtie materiāli var tikt novirzīti teritorijas labiekārtošanai. Pamatojoties uz augstāk minēto, lūdzam ņemt vērā Asociācijas iebildumus un veikt atbilstošus grozījumus Likumprojektā. Asociācija atkārtoti lūdz organizēt tikšanos ar nozares pārstāvjiem pirms tiek tālāk virzīts Likumprojekts, lai rastu risinājumu un beidzot izpildītu Latvijas republikas 11. Saeimas Tautsaimniecības, agrārās, vides un reģionālas politikas komisijas 2013.gada 7.maija sēdes lēmumu.</w:t>
            </w:r>
          </w:p>
        </w:tc>
        <w:tc>
          <w:tcPr>
            <w:tcW w:w="1350" w:type="dxa"/>
            <w:shd w:val="clear" w:color="auto" w:fill="FFFFFF" w:themeFill="background1"/>
            <w:noWrap/>
            <w:tcMar>
              <w:top w:w="75" w:type="dxa"/>
              <w:left w:w="75" w:type="dxa"/>
              <w:bottom w:w="75" w:type="dxa"/>
              <w:right w:w="75" w:type="dxa"/>
            </w:tcMar>
          </w:tcPr>
          <w:p w14:paraId="0EFEA78D" w14:textId="1C8DCED9" w:rsidR="009D7B1D" w:rsidRPr="00AF7DC5" w:rsidRDefault="00800E8E" w:rsidP="00497907">
            <w:r>
              <w:lastRenderedPageBreak/>
              <w:t>Daļēji ņemts vērā.</w:t>
            </w:r>
          </w:p>
        </w:tc>
        <w:tc>
          <w:tcPr>
            <w:tcW w:w="4156" w:type="dxa"/>
            <w:shd w:val="clear" w:color="auto" w:fill="FFFFFF" w:themeFill="background1"/>
            <w:noWrap/>
            <w:tcMar>
              <w:top w:w="75" w:type="dxa"/>
              <w:left w:w="75" w:type="dxa"/>
              <w:bottom w:w="75" w:type="dxa"/>
              <w:right w:w="75" w:type="dxa"/>
            </w:tcMar>
          </w:tcPr>
          <w:p w14:paraId="5A6E89BD" w14:textId="6ED22E0D" w:rsidR="009D7B1D" w:rsidRPr="00AF7DC5" w:rsidRDefault="00C13266" w:rsidP="00497907">
            <w:r w:rsidRPr="00AF7DC5">
              <w:t>Ar ogļūdeņražu izpēti un ieguvi saistītie grozījumi no Likumprojekta tika izslēgti.</w:t>
            </w:r>
          </w:p>
        </w:tc>
      </w:tr>
      <w:tr w:rsidR="009D7B1D" w:rsidRPr="00AF7DC5" w14:paraId="398BF40E" w14:textId="77777777" w:rsidTr="00800E8E">
        <w:tc>
          <w:tcPr>
            <w:tcW w:w="750" w:type="dxa"/>
            <w:shd w:val="clear" w:color="auto" w:fill="FFFFFF" w:themeFill="background1"/>
            <w:noWrap/>
            <w:tcMar>
              <w:top w:w="75" w:type="dxa"/>
              <w:left w:w="75" w:type="dxa"/>
              <w:bottom w:w="75" w:type="dxa"/>
              <w:right w:w="75" w:type="dxa"/>
            </w:tcMar>
            <w:vAlign w:val="center"/>
          </w:tcPr>
          <w:p w14:paraId="5B6EABCB" w14:textId="1866A771" w:rsidR="009D7B1D" w:rsidRPr="00AF7DC5" w:rsidRDefault="009D7B1D">
            <w:pPr>
              <w:jc w:val="center"/>
            </w:pPr>
            <w:r w:rsidRPr="00AF7DC5">
              <w:lastRenderedPageBreak/>
              <w:t>9.</w:t>
            </w:r>
          </w:p>
        </w:tc>
        <w:tc>
          <w:tcPr>
            <w:tcW w:w="2505" w:type="dxa"/>
            <w:shd w:val="clear" w:color="auto" w:fill="FFFFFF" w:themeFill="background1"/>
            <w:noWrap/>
            <w:tcMar>
              <w:top w:w="75" w:type="dxa"/>
              <w:left w:w="75" w:type="dxa"/>
              <w:bottom w:w="75" w:type="dxa"/>
              <w:right w:w="75" w:type="dxa"/>
            </w:tcMar>
            <w:vAlign w:val="center"/>
          </w:tcPr>
          <w:p w14:paraId="3FC16124" w14:textId="527B1C66" w:rsidR="009D7B1D" w:rsidRPr="00AF7DC5" w:rsidRDefault="00E96A35">
            <w:pPr>
              <w:jc w:val="left"/>
            </w:pPr>
            <w:r w:rsidRPr="00AF7DC5">
              <w:t>PS “Baltic oil corporation”</w:t>
            </w:r>
          </w:p>
        </w:tc>
        <w:tc>
          <w:tcPr>
            <w:tcW w:w="5806" w:type="dxa"/>
            <w:shd w:val="clear" w:color="auto" w:fill="FFFFFF" w:themeFill="background1"/>
            <w:noWrap/>
            <w:tcMar>
              <w:top w:w="75" w:type="dxa"/>
              <w:left w:w="75" w:type="dxa"/>
              <w:bottom w:w="75" w:type="dxa"/>
              <w:right w:w="75" w:type="dxa"/>
            </w:tcMar>
            <w:vAlign w:val="center"/>
          </w:tcPr>
          <w:p w14:paraId="78B8661C" w14:textId="7A5B816F" w:rsidR="009D7B1D" w:rsidRPr="00AF7DC5" w:rsidRDefault="00E96A35" w:rsidP="00497907">
            <w:r w:rsidRPr="00AF7DC5">
              <w:t xml:space="preserve">Atsaucoties uz Vides aizsardzības un reģionālās attīstības ministrijas (turpmāk – VARAM) 2022. gada 18. oktobrī atsūtīto e-pastu par precizētā likumprojekta "Grozījumi likumā "Par zemes dzīlēm"" (22-TA-2212) (turpmāk – Likumprojekts) elektronisko saskaņošanu, PS “BALTIC OIL CORPORATION” (turpmāk – Sabiedrība) dara zināmus iebildumus pret Likumprojektu. Sabiedrība iebilst pret Likumprojekta 3. punktu un lūdz likuma “Par zemes dzīlēm” 4. panta ceturtajā daļā svītrot vārdus “kā arī licences anulēšanas nosacījumus” un izteikt 4. panta ceturto daļu šāda redakcijā: “(4) Ministru kabinets nosaka ogļūdeņražu licences laukuma nosacījumus ogļūdeņražu meklēšanas, izpētes un ieguves licences saņemšanai, tās izsniegšanas un izmantošanas uzraudzības kārtību.” Ministru kabineta noteikumu regulējums nevar būt plašāks, kā tas noteikts likumā. Tas nozīmē, ka 4. panta ceturtā daļa nav papildināma un ir novēršami gadījumi, kad ar Ministru kabineta noteikumiem var tikt apturēta, anulēta vai arī atcelta licence. Šajā gadījumā ir jāņem vērā, ka likuma “Par zemes dzīlēm” 16. pants nosaka nosacījumus, kad zemes dzīļu izmantošana var tikt ierobežota, apturēta vai anulēta licence un līdz ar to ietver pilnvarojumu Ministru kabinetam izdot noteikumus par licences apturēšanas, anulēšanas </w:t>
            </w:r>
            <w:r w:rsidRPr="00AF7DC5">
              <w:lastRenderedPageBreak/>
              <w:t xml:space="preserve">vai atcelšanas nosacījumiem, kas būs neatbilstošs Ministru kabineta 2009. gada 3. februāra noteikumu Nr. 108 “Normatīvo aktu projektu sagatavošanas noteikumi” 2.4. sadaļai un nonāks pretrunā ar Ministru kabineta 2015. gada 22. decembra noteikumu Nr. 805 “Noteikumi par ogļūdeņražu meklēšanu, izpēti un ieguvi” (turpmāk – Noteikumi Nr.805) 34. punktu. Atbilstoši Noteikumu Nr. 805 34. punktam, licenci ogļūdeņražu meklēšanai vai izpētei un ieguvei aptur vai atceļ saskaņā ar likuma “Par zemes dzīlēm” 16. pantu. Būvniecības valsts kontroles birojs 10 dienu laikā pēc licences apturēšanas vai atcelšanas par to informē Valsts vides dienestu un valsts sabiedrību ar ierobežotu atbildību “Latvijas Vides, ģeoloģijas un meteoroloģijas centrs” (turpmāk – Centrs), kā arī Jūras administrāciju, ja licences laukums atrodas jūrā. Lūdzam ņemt vērā, ka, nosakot pilnvarojumu Ministru kabinetam noteikt licences apturēšanas, anulēšanas vai atcelšanas nosacījumus, tas neizbēgami novedīs pie tā, ka licences apturēšana būs iespējama pēc subjektīvas interpretācijas, un tas ir īpaši bīstams aspekts, ņemot vērā, ka valsts institūciju ierēdņiem un speciālistiem nav ne zināšanu, ne pieredzes ogļūdeņražu ieguvē. Licences apturēšana nozīmē urbumu darbības apturēšanu, tādējādi principā apdraudot uzņēmuma pastāvēšanu. Lūdzam </w:t>
            </w:r>
            <w:r w:rsidRPr="00AF7DC5">
              <w:lastRenderedPageBreak/>
              <w:t xml:space="preserve">norādīt, vai VARAM un Ekonomikas ministrija ir analizējušas atteikumu no licences iemeslus? Kādi ir secinājumi? Vai ir izvērtēts kāpēc Latvijā 15 gadu laikā ogļūdeņražu nozarē ir tikai viens reāli strādājošs komersants? Vai ir kāds cits iemesls, izņemot neloģiskos normatīvos aktus? Bez tam, citos normatīvajos aktos termini “anulēt” un “atcelt” tiek lietoti kā sinonīmi, piemēram, Sabiedrisko pakalpojumu licencēšanas noteikumos (Ministru kabineta 2005. gada 15. septembra noteikumi Nr. 664). Sabiedrība jau ir vairākkārt uzsvērusi, ka ne starpinstitūciju sanāksmes laikā uzklausītie Ekonomikas ministrijas pārstāves argumenti, ne arī Baltijas ogļūdeņražu izpētes un ieguves asociācijai, kuras biedrs ir Sabiedrība, adresētā VARAM 2021. gada 03. jūnija vēstule nr. 1- 17/5364, nespēj pamatot grozījumu nepieciešamību. Noteikumi Nr.805 nosaka licenciāta pienākumu izpildīt licencē ogļūdeņražu izpētei un ieguvei noteikto minimālo ogļūdeņražu izpētes darbu programmu licencē noteiktajos termiņos, iesniegt Centram datus, paraugus, pārskatus un informāciju, kas iegūta ogļūdeņražu izpētes un ieguves darbos u.tml., savukārt, ja licenciāts nepilda savus pienākumus - atkārtoti pārkāpj zemes dzīļu izmantošanas licences, tad saskaņā ar likuma “Par zemes dzīlēm” 16. panta trešās daļas 4. punktu ir pamats lemt par licences </w:t>
            </w:r>
            <w:r w:rsidRPr="00AF7DC5">
              <w:lastRenderedPageBreak/>
              <w:t xml:space="preserve">atcelšanu. Tas pats, ja licenciāts atkārtoti pārkāpj normatīvo aktu prasības attiecībā uz zemes dzīļu izmantošanu un aizsardzību. Nav lietderīgi dublēt jau spēkā esošajos normatīvajos aktos noteiktās tiesību normas. Sabiedrība uzskata, ka Ekonomikas ministrijas iebildums - papildināt likuma 4.panta ceturto daļu redakcijā: “Ministru kabinets nosaka ogļūdeņražu licences laukuma nosacījumus ogļūdeņražu meklēšanas, izpētes un ieguves licences saņemšanai, tās izsniegšanas un izmantošanas uzraudzības kārtību, kā arī licences apturēšanas un atcelšanas nosacījumus” nekādā veidā nenodrošina tiesību aktu sasaisti un hierarhiju. Sabiedrība jau ir norādījusi, ka likumus nevar pieņemt kādam vienam konkrētam cilvēkam, kādam vienam gadījumam vai konkrētam uzņēmumam. Diemžēl, šajā gadījumā, ievērojot VARAM un Ekonomikas ministrijas pamatojumu, tieši šāda situācija ir radusies. Ievērojot, ka kopš 2006. gada ir izdots zināms skaits licenču ogļūdeņražu izpētei un ieguvei sauszemē, taču reāli 15 gadu laikā joprojām nozarē strādā tikai viens uzņēmums, un ir zināma informācija, ka vēl viens licenciāts gatavojas atteikties no licences tieši absurdā normatīvā regulējuma dēļ, ir acīmredzams, ka Likumprojekts radušos situāciju tikai pasliktinās. Jāatzīmē, ka tieši VARAM un Ekonomikas ministrija nespēj izveidot </w:t>
            </w:r>
            <w:r w:rsidRPr="00AF7DC5">
              <w:lastRenderedPageBreak/>
              <w:t xml:space="preserve">ogļūdeņražu regulējumu tādu, kas nodrošinātu urbumu izpētes un ieguves nepārtrauktību, kas ir šīs jomas galvenais pamatnoteikums, diemžēl, neviens jauns komersants nav riskējis uzsākt reālu darbību. Tieši pretēji – komersanti atsakās no licencēm. Lūdzam norādīt, kāda iemesla dēļ Likumprojekta grozījumi neparedz šo svarīgo noteikumu. Kas tieši kavē VARAM un Ekonomikas ministriju šo jautājumu atrisināt? Lai tas beidzot tiktu iekļauts Likumprojektā. Kā redzams no Likumprojekta 7. punkta, kas paredz 9. pantā izteikt pirmās daļas 6. punktu šādā redakcijā: “6) ogļūdeņražu izpētei un tai sekojošai ieguvei – uz laiku līdz 30 gadiem;”, VARAM un Ekonomikas ministrija nav ņēmusi vērā ogļūdeņražu izpētes un ieguves nepārtrauktību un vēlas iznīcināt ogļūdeņražu izpētes un ieguves nozari. Sabiedrība vērš VARAM un Ekonomikas ministrijas uzmanību uz Noteikumu Nr. 805 178. punktu, kas noteic, ka licenciāts drīkst uzsākt ogļūdeņražu ieguvi uz sauszemes tikai pēc urbumu un citu ogļūdeņražu ieguvei izmantojamo būvju būvniecības pabeigšanas un nodošanas ekspluatācijā, tai skaitā pirms minimālās ogļūdeņražu izpētes programmas izpildes pilnā apjomā. Šāds regulējums tika pieņemts, lai nodrošinātu ogļūdeņražu izpētes un ieguves nepārtrauktību. Savukārt Likumprojektā </w:t>
            </w:r>
            <w:r w:rsidRPr="00AF7DC5">
              <w:lastRenderedPageBreak/>
              <w:t xml:space="preserve">paredzētais regulējums izslēgs urbumu ekspluatāciju izpētes laikā, jo pēc VARAM un Ekonomikas ministrijas ieskata, ieguvei ir jāseko pēc izpētes un līdz ar to urbumu ekspluatācija nav pieļaujama. Šāda pieeja ir ārpus starptautiskās prakses nozarē. Jāsecina, ka ministrijas ir maldinājušas sabiedrību, norādot, ka Likumprojekta grozījumu mērķis ir samazināt administratīvo slogu. Rezultātā prasības tiek dubultotas, kā arī sākotnēji jau zināms, ka prasības tehniski nav izpildāmas. Likumprojekta 8.punkts, kas paredz papildināt 10. pantu 1.1 daļu, pastiprina komersantu sodīšanas kārtību, nenosakot objektīvi pārbaudāmus kritērijus, kad Valsts vides dienests vai Būvniecības valsts kontroles birojs var atteikt zemes dzīļu izmantošanas licences izsniegšanu vai jau izsniegtas licences termiņa pagarināšanu. Sabiedrības priekšlikumi Likumprojekta 8.punktam - 10. pantā 1.1 1) precizēt derīgo izrakteņu veidus, izslēdzot ogļūdeņražus; 2) noteikt pārkāpumu skaitu, izslēdzot atbildīgo amatpersonu subjektīvu vērtējumu pārkāpumu skaitam. Vārds “vairākkārt” jāaizvieto ar skaitlisku vērtību vai jāsvītro. Sabiedrība lūdz likumā “Par zemes dzīlēm” novērst arī nepareizu ogļūdeņražu ieguves termina lietojumu. Ogļūdeņražu ieguve nav peļņas gūšana no ogļūdeņražu pārdošanas, bet gan tehnoloģisku darbību komplekss, lai no zemes </w:t>
            </w:r>
            <w:r w:rsidRPr="00AF7DC5">
              <w:lastRenderedPageBreak/>
              <w:t xml:space="preserve">dzīlēm iegūtu (atdalītu) ogļūdeņražus virszemē un tam sekojošu separēšanu. Likumprojekta izziņā VARAM ir norādījusi, ka tai trūkst laika un resursu terminoloģijas izvērtēšanai. Sabiedrības ieskatā, tas nav pamatojums konkrētās problemātikas ignorēšanai. Ir svarīgi risināt šo jautājumu, ievērojot, ka VARAM izstrādājusi Likumprojektu. Sabiedrība piedāvā Likumprojekta 1.panta 156 punktu izteikt šādā redakcijā: "ogļūdeņražu ieguve - darbību kopums derīgā izrakteņa atdalīšanai no tā dabiskās vides – zemes apakšslāņiem". Sabiedrība iebilst pret Likumprojekta 13. punktu un norāda, ka 14. panta 8. punkts neizslēdz pienākuma uzlikšanu komersantam rekultivēt tās platības, kuras ir ārpus licences laukuma. Ar plānotajiem grozījumiem tiek veicināta patvaļa un neierobežotas spekulācijas, kas vērstas pret komersantiem, kas strādā jebkādu derīgo izrakteņu ieguves jomā, a apriori uzskatot komersantus par tiesību normu pārkāpējiem, kā arī pieļaujot plaša spektra spekulācijas kā no blakus esošo zemes īpašnieku, tā arī kontrolējošo institūciju amatpersonu puses. Jāņem vērā arī apelācijas sūdzību par kontrolējošo institūciju pieņemtajiem lēmumiem skaita palielinājumu, apelācijas institūcijas un tiesu sistēmas kapacitāti - spēju izskatīt un izvērtēt kontrolējošo institūciju izdoto administratīvo aktu likumisko pamatu. Tas nozīmē ne tikai iespējamu </w:t>
            </w:r>
            <w:r w:rsidRPr="00AF7DC5">
              <w:lastRenderedPageBreak/>
              <w:t xml:space="preserve">komersantu līdzekļu nepamatotu izlietojumu blakus esošo zemju nepamatotai rekultivācijai, bet arī valsts budžeta līdzekļu izšķērdēšanu pārbaudēm, pārbaužu rezultātu izvērtēšanai un citām darbībām. Ņemot vērā augstāk minēto, Sabiedrība izsaka priekšlikumu Likumprojekta 14. panta 8. punktam: svītrot grozījumus un saglabāt esošo redakciju: “uz sava rēķina rekultivēt zemes dzīļu izmantošanas rezultātā radušos zemes gabala bojājumus atļaujā vai licencē norādītajā termiņā;” Sabiedrības ieskatā nav pamatojuma piemērot analoģiju ogļūdeņražu meklēšanas, izpētes un ieguves darbiem ar būvniecības darbiem, jo pirmā saimnieciskā darbība iekļauta NACE saimniecisko darbību statistiskā klasifikācijas grupā “Ieguves rūpniecība un karjeru izstrāde”, bet būvniecība ietverta grupā “Būvniecība”. Tā, kā saimnieciskās darbības iekļautas dažādās NACE klasifikatora grupās, nav pamata atsaukties uz statistikas datu nepilnībām būvniecībā, lai pastiprinātu administratīvo slogu pēc citām NACE klasifikatora grupās reģistrētiem komersantiem. Tādā gadījumā, normas jāattiecina arī uz “Ūdens apgādi, notekūdeņu, atkritumu apsaimniekošanu un sanāciju”, “Apstrādes rūpniecību” vai citu saimniecisko darbību grupu. Tāpat Sabiedrība norāda, ka virkne citu normatīvo aktu paredz rīcību piesārņojuma vai arī cita īpašuma bojājuma </w:t>
            </w:r>
            <w:r w:rsidRPr="00AF7DC5">
              <w:lastRenderedPageBreak/>
              <w:t>gadījumā. Ņemot vērā, ka Likumprojekta mērķis norādīts – administratīvā sloga samazināšana, arī šajā konkrētajā gadījumā normatīvie akti tiks dubultoti un uz to norāda, tas, ka ar Likumprojektu ir paredzēts, ka zemes dzīļu pārraudzību īstenos visas iespējamās institūcijas, ieskaitot vietējās pašvaldības, kurām savā teritorijā būs jāpārrauga būvniecības objektos iegūto un izmantoto dabas resursu apriti, būs jānodrošina un jāpārrauga derīgo izrakteņu ieguves vietu rekultivāciju (sk. Likumprojekta 3. punktu). Pamatojoties uz augstākminēto, Sabiedrība neatbalsta Likumprojekta virzību, lūdz neiekļaut Ekonomikas ministrijas priekšlikumus Likumprojektā, kā arī informēt par Likumprojekta tālāko virzību un uzaicināt Sabiedrību piedalīties tālākajā procedūrā. Sabiedrība lūdz valsts ierēdņus un institūcijas pēc būtības iedziļināties jautājuma problemātikā un nekādā gadījumā nepieņemt tādu Likumprojektu, kas iznīcinātu nozari.</w:t>
            </w:r>
          </w:p>
        </w:tc>
        <w:tc>
          <w:tcPr>
            <w:tcW w:w="1350" w:type="dxa"/>
            <w:shd w:val="clear" w:color="auto" w:fill="FFFFFF" w:themeFill="background1"/>
            <w:noWrap/>
            <w:tcMar>
              <w:top w:w="75" w:type="dxa"/>
              <w:left w:w="75" w:type="dxa"/>
              <w:bottom w:w="75" w:type="dxa"/>
              <w:right w:w="75" w:type="dxa"/>
            </w:tcMar>
          </w:tcPr>
          <w:p w14:paraId="55323DAD" w14:textId="362E38B4" w:rsidR="009D7B1D" w:rsidRPr="00AF7DC5" w:rsidRDefault="00800E8E" w:rsidP="00497907">
            <w:r>
              <w:lastRenderedPageBreak/>
              <w:t>Daļēji ņemts vērā.</w:t>
            </w:r>
          </w:p>
        </w:tc>
        <w:tc>
          <w:tcPr>
            <w:tcW w:w="4156" w:type="dxa"/>
            <w:shd w:val="clear" w:color="auto" w:fill="FFFFFF" w:themeFill="background1"/>
            <w:noWrap/>
            <w:tcMar>
              <w:top w:w="75" w:type="dxa"/>
              <w:left w:w="75" w:type="dxa"/>
              <w:bottom w:w="75" w:type="dxa"/>
              <w:right w:w="75" w:type="dxa"/>
            </w:tcMar>
          </w:tcPr>
          <w:p w14:paraId="0374F948" w14:textId="053756DA" w:rsidR="009D7B1D" w:rsidRPr="00AF7DC5" w:rsidRDefault="00774F4C" w:rsidP="00497907">
            <w:r w:rsidRPr="00AF7DC5">
              <w:t>Ar ogļūdeņražu izpēti un ieguvi saistītie grozījumi no Likumprojekta tika izslēgti.</w:t>
            </w:r>
          </w:p>
        </w:tc>
      </w:tr>
      <w:tr w:rsidR="009D7B1D" w:rsidRPr="00AF7DC5" w14:paraId="13C63F73" w14:textId="77777777" w:rsidTr="00800E8E">
        <w:tc>
          <w:tcPr>
            <w:tcW w:w="750" w:type="dxa"/>
            <w:shd w:val="clear" w:color="auto" w:fill="FFFFFF" w:themeFill="background1"/>
            <w:noWrap/>
            <w:tcMar>
              <w:top w:w="75" w:type="dxa"/>
              <w:left w:w="75" w:type="dxa"/>
              <w:bottom w:w="75" w:type="dxa"/>
              <w:right w:w="75" w:type="dxa"/>
            </w:tcMar>
            <w:vAlign w:val="center"/>
          </w:tcPr>
          <w:p w14:paraId="10947447" w14:textId="20BFF716" w:rsidR="009D7B1D" w:rsidRPr="00AF7DC5" w:rsidRDefault="009D7B1D">
            <w:pPr>
              <w:jc w:val="center"/>
            </w:pPr>
            <w:r w:rsidRPr="00AF7DC5">
              <w:lastRenderedPageBreak/>
              <w:t>10.</w:t>
            </w:r>
          </w:p>
        </w:tc>
        <w:tc>
          <w:tcPr>
            <w:tcW w:w="2505" w:type="dxa"/>
            <w:shd w:val="clear" w:color="auto" w:fill="FFFFFF" w:themeFill="background1"/>
            <w:noWrap/>
            <w:tcMar>
              <w:top w:w="75" w:type="dxa"/>
              <w:left w:w="75" w:type="dxa"/>
              <w:bottom w:w="75" w:type="dxa"/>
              <w:right w:w="75" w:type="dxa"/>
            </w:tcMar>
            <w:vAlign w:val="center"/>
          </w:tcPr>
          <w:p w14:paraId="2A3D7ECB" w14:textId="3702ACAE" w:rsidR="009D7B1D" w:rsidRPr="00AF7DC5" w:rsidRDefault="009D7B1D">
            <w:pPr>
              <w:jc w:val="left"/>
            </w:pPr>
            <w:r w:rsidRPr="00AF7DC5">
              <w:t>Biedrība “Lauksaimniecības organizāciju sadarbības padome”</w:t>
            </w:r>
          </w:p>
        </w:tc>
        <w:tc>
          <w:tcPr>
            <w:tcW w:w="5806" w:type="dxa"/>
            <w:shd w:val="clear" w:color="auto" w:fill="FFFFFF" w:themeFill="background1"/>
            <w:noWrap/>
            <w:tcMar>
              <w:top w:w="75" w:type="dxa"/>
              <w:left w:w="75" w:type="dxa"/>
              <w:bottom w:w="75" w:type="dxa"/>
              <w:right w:w="75" w:type="dxa"/>
            </w:tcMar>
            <w:vAlign w:val="center"/>
          </w:tcPr>
          <w:p w14:paraId="502B4986" w14:textId="77777777" w:rsidR="009D7B1D" w:rsidRPr="00AF7DC5" w:rsidRDefault="009D7B1D" w:rsidP="00497907">
            <w:r w:rsidRPr="00AF7DC5">
              <w:t>Lauksaimnieku organizāciju sadarbības padome, turpmāk – LOSP, sniedz savus iebildumus saistībā ar Vides aizsardzības un reģionālās attīstības ministrijas, turpmāk -VARAM, elektroniskajai saskaņošanai izsludināto Likumprojektu “Grozījumi likumā "Par zemes dzīlēm"" (22-TA-2212), turpmāk – Likumprojekts.</w:t>
            </w:r>
          </w:p>
          <w:p w14:paraId="27B07971" w14:textId="77777777" w:rsidR="009D7B1D" w:rsidRPr="00AF7DC5" w:rsidRDefault="009D7B1D" w:rsidP="00497907">
            <w:r w:rsidRPr="00AF7DC5">
              <w:lastRenderedPageBreak/>
              <w:t>LOSP ir iepazinusies ar Likumprojektu un norāda, ka tajā ir saskatāmas pretrunas regulējumā un terminoloģijā, tāpēc lūdzam to pārstrādāt. Jānodala katras institūcijas tiesības un pienākumi, jo no Likumprojekta nav saprotamas to kompetences un funkcijas.</w:t>
            </w:r>
          </w:p>
          <w:p w14:paraId="382F9CC6" w14:textId="77777777" w:rsidR="009D7B1D" w:rsidRPr="00AF7DC5" w:rsidRDefault="009D7B1D" w:rsidP="00497907">
            <w:pPr>
              <w:rPr>
                <w:bCs/>
              </w:rPr>
            </w:pPr>
            <w:r w:rsidRPr="00AF7DC5">
              <w:t xml:space="preserve">LOSP nepiekrīt grozījumiem Likumprojektā 4.panta piektajā daļā un 5.panta piektajā daļā. Anotācijā sniegtais skaidrojums nepamato grozījumu nepieciešamību. Likumā būtu nodalāmi zemes dzīļu apsaimniekošana un būvniecības process, jo to regulē citi normatīvie akti. Tas pats ir attiecināms arī uz Likumprojekta </w:t>
            </w:r>
            <w:r w:rsidRPr="00AF7DC5">
              <w:rPr>
                <w:bCs/>
              </w:rPr>
              <w:t>11.</w:t>
            </w:r>
            <w:r w:rsidRPr="00AF7DC5">
              <w:rPr>
                <w:bCs/>
                <w:vertAlign w:val="superscript"/>
              </w:rPr>
              <w:t>1</w:t>
            </w:r>
            <w:r w:rsidRPr="00AF7DC5">
              <w:rPr>
                <w:bCs/>
              </w:rPr>
              <w:t> pantu un 17.pantu.</w:t>
            </w:r>
          </w:p>
          <w:p w14:paraId="159E1EAA" w14:textId="77777777" w:rsidR="009D7B1D" w:rsidRPr="00AF7DC5" w:rsidRDefault="009D7B1D" w:rsidP="00497907">
            <w:pPr>
              <w:rPr>
                <w:bCs/>
              </w:rPr>
            </w:pPr>
            <w:r w:rsidRPr="00AF7DC5">
              <w:rPr>
                <w:bCs/>
              </w:rPr>
              <w:t xml:space="preserve">Būvniecības procesa veicējam – fiziskai vai juridiskai personai nav nosakāms pienākums apsaimniekot iegūtos dabas resursus. Nav pamata uzlikt papildus administratīvo slogu būvdarbu procesa veicējiem, jo </w:t>
            </w:r>
            <w:r w:rsidRPr="00AF7DC5">
              <w:rPr>
                <w:bCs/>
                <w:iCs/>
              </w:rPr>
              <w:t>pat 1. un 2. grupas būvēm papildus saskaņošanas procedūras iespējami aizņems būtisku laiku.  Bez tam iegūtie resursi -materiāli var būt izmantojami teritorijas labiekārtošanai.</w:t>
            </w:r>
          </w:p>
          <w:p w14:paraId="6E0B2537" w14:textId="77777777" w:rsidR="009D7B1D" w:rsidRPr="00AF7DC5" w:rsidRDefault="009D7B1D" w:rsidP="00497907">
            <w:r w:rsidRPr="00AF7DC5">
              <w:t>Likuma 4.panta piektā daļa ir saglabājama spēkā esošā redakcija:</w:t>
            </w:r>
          </w:p>
          <w:p w14:paraId="3C9F976E" w14:textId="77777777" w:rsidR="009D7B1D" w:rsidRPr="00AF7DC5" w:rsidRDefault="009D7B1D" w:rsidP="00497907">
            <w:pPr>
              <w:rPr>
                <w:lang w:val="en-US"/>
              </w:rPr>
            </w:pPr>
            <w:r w:rsidRPr="00AF7DC5">
              <w:rPr>
                <w:lang w:val="en-US"/>
              </w:rPr>
              <w:t>(5) Vietējās pašvaldības savās administratīvajās teritorijās:</w:t>
            </w:r>
          </w:p>
          <w:p w14:paraId="518138E4" w14:textId="77777777" w:rsidR="009D7B1D" w:rsidRPr="00AF7DC5" w:rsidRDefault="009D7B1D" w:rsidP="00497907">
            <w:pPr>
              <w:rPr>
                <w:lang w:val="en-US"/>
              </w:rPr>
            </w:pPr>
            <w:r w:rsidRPr="00AF7DC5">
              <w:rPr>
                <w:lang w:val="en-US"/>
              </w:rPr>
              <w:lastRenderedPageBreak/>
              <w:t>1) Ministru kabineta noteiktajā kārtībā un ievērojot Valsts vides dienesta noteiktos ieguves limitus, izsniedz atļaujas bieži sastopamo derīgo izrakteņu ieguvei, izņemot šā likuma </w:t>
            </w:r>
            <w:hyperlink r:id="rId9" w:anchor="p10" w:history="1">
              <w:r w:rsidRPr="00AF7DC5">
                <w:rPr>
                  <w:rStyle w:val="Hyperlink"/>
                  <w:lang w:val="en-US"/>
                </w:rPr>
                <w:t>10.panta</w:t>
              </w:r>
            </w:hyperlink>
            <w:r w:rsidRPr="00AF7DC5">
              <w:rPr>
                <w:lang w:val="en-US"/>
              </w:rPr>
              <w:t> pirmās daļas 3.punkta "a" un "b" apakšpunktā noteiktos gadījumus;</w:t>
            </w:r>
          </w:p>
          <w:p w14:paraId="65706C2D" w14:textId="77777777" w:rsidR="009D7B1D" w:rsidRPr="00AF7DC5" w:rsidRDefault="009D7B1D" w:rsidP="00497907">
            <w:pPr>
              <w:rPr>
                <w:lang w:val="en-US"/>
              </w:rPr>
            </w:pPr>
            <w:r w:rsidRPr="00AF7DC5">
              <w:rPr>
                <w:lang w:val="en-US"/>
              </w:rPr>
              <w:t>2) pārrauga derīgo izrakteņu ieguves vietu rekultivāciju.</w:t>
            </w:r>
          </w:p>
          <w:p w14:paraId="24F2E306" w14:textId="77777777" w:rsidR="009D7B1D" w:rsidRPr="00AF7DC5" w:rsidRDefault="009D7B1D" w:rsidP="00497907">
            <w:pPr>
              <w:rPr>
                <w:lang w:val="en-US"/>
              </w:rPr>
            </w:pPr>
          </w:p>
          <w:p w14:paraId="14FC2D81" w14:textId="77777777" w:rsidR="009D7B1D" w:rsidRPr="00AF7DC5" w:rsidRDefault="009D7B1D" w:rsidP="00497907">
            <w:r w:rsidRPr="00AF7DC5">
              <w:t xml:space="preserve">LOSP jau iepriekš minējusi, ka Likumprojektā iekļautā prasība papildināt likuma 4.panta ceturto daļu nav atbalstāma. </w:t>
            </w:r>
          </w:p>
          <w:p w14:paraId="296A7CEA" w14:textId="77777777" w:rsidR="009D7B1D" w:rsidRPr="00AF7DC5" w:rsidRDefault="009D7B1D" w:rsidP="00497907">
            <w:r w:rsidRPr="00AF7DC5">
              <w:t xml:space="preserve">Ir saglabājama likuma spēkā esošā redakcija: </w:t>
            </w:r>
          </w:p>
          <w:p w14:paraId="7546E8AF" w14:textId="77777777" w:rsidR="009D7B1D" w:rsidRPr="00AF7DC5" w:rsidRDefault="009D7B1D" w:rsidP="00497907">
            <w:r w:rsidRPr="00AF7DC5">
              <w:t>“Ministru kabinets nosaka ogļūdeņražu licences laukuma nosacījumus ogļūdeņražu meklēšanas, izpētes un ieguves licences saņemšanai, tās izsniegšanas un izmantošanas uzraudzības kārtību, kā arī licences anulēšanas nosacījumus”.</w:t>
            </w:r>
          </w:p>
          <w:p w14:paraId="3C596CF2" w14:textId="77777777" w:rsidR="009D7B1D" w:rsidRPr="00AF7DC5" w:rsidRDefault="009D7B1D" w:rsidP="00497907">
            <w:r w:rsidRPr="00AF7DC5">
              <w:t>Redzams, ka Ekonomikas ministrijas prasība, diemžēl, nav pamatota un īsti nav skaidra attiecīgā punkta grozījumu nepieciešamība. Gadījumi, kad ir atceļama vai apturama licence, ir nosakāmi likumā, un likums jau šobrīd ir pārslogots ar pilnvarojumu Ministru kabinetam. Izdarāms secinājums, ka Likumprojekta izstrādātāji pārliek savu uzdevumu izpildi Ministru kabinetam, kas nav atbalstāms pēc būtības.</w:t>
            </w:r>
          </w:p>
          <w:p w14:paraId="4DB564FE" w14:textId="77777777" w:rsidR="009D7B1D" w:rsidRPr="00AF7DC5" w:rsidRDefault="009D7B1D" w:rsidP="00497907">
            <w:r w:rsidRPr="00AF7DC5">
              <w:lastRenderedPageBreak/>
              <w:t>Iepazīstoties ar Likumprojektu, var secināt, ka tas diemžēl neveicinās zemes dzīļu apsaimniekošanu. Likumprojekta 10 panta papildināšana ar 1.</w:t>
            </w:r>
            <w:r w:rsidRPr="00AF7DC5">
              <w:rPr>
                <w:vertAlign w:val="superscript"/>
              </w:rPr>
              <w:t>1</w:t>
            </w:r>
            <w:r w:rsidRPr="00AF7DC5">
              <w:t> daļu var radīt situācijas, kad neizvērtējot parkāpuma būtību juridiskās vai fiziskās personas var tikt sodītas dubultā. Likumprojekta redakcija kopumā norāda uz zemes dzīļu apsaimniekošanas regulējuma represīvo raksturu.</w:t>
            </w:r>
          </w:p>
          <w:p w14:paraId="42F03F63" w14:textId="77777777" w:rsidR="009D7B1D" w:rsidRPr="00AF7DC5" w:rsidRDefault="009D7B1D" w:rsidP="00497907">
            <w:r w:rsidRPr="00AF7DC5">
              <w:t>Papildus LOSP uztur arī iepriekš sniegto atzinumu, tai skaitā par nepieciešamību precizēt likuma 1.panta 15</w:t>
            </w:r>
            <w:r w:rsidRPr="00AF7DC5">
              <w:rPr>
                <w:vertAlign w:val="superscript"/>
              </w:rPr>
              <w:t>6</w:t>
            </w:r>
            <w:r w:rsidRPr="00AF7DC5">
              <w:t xml:space="preserve"> punktu, kā arī norāda uz problemātiku Likumprojekta 9.panta 1.daļas 6.punktā. Iespējams, sadalījums starp izpēti un ieguvi izskaidro to, kāpēc Latvijā nenotiek ogļūdeņražu izpēte un ieguve. </w:t>
            </w:r>
          </w:p>
          <w:p w14:paraId="1435F1AA" w14:textId="38FA5B55" w:rsidR="009D7B1D" w:rsidRPr="00AF7DC5" w:rsidRDefault="009D7B1D" w:rsidP="00497907">
            <w:r w:rsidRPr="00AF7DC5">
              <w:t>Ievērojot iepriekš minēto, LOSP kategoriski iebilst pret izstrādāto Likumprojektu un lūdz to pārstrādāt.</w:t>
            </w:r>
          </w:p>
        </w:tc>
        <w:tc>
          <w:tcPr>
            <w:tcW w:w="1350" w:type="dxa"/>
            <w:shd w:val="clear" w:color="auto" w:fill="FFFFFF" w:themeFill="background1"/>
            <w:noWrap/>
            <w:tcMar>
              <w:top w:w="75" w:type="dxa"/>
              <w:left w:w="75" w:type="dxa"/>
              <w:bottom w:w="75" w:type="dxa"/>
              <w:right w:w="75" w:type="dxa"/>
            </w:tcMar>
          </w:tcPr>
          <w:p w14:paraId="7484B7E8" w14:textId="46D5EA21" w:rsidR="009D7B1D" w:rsidRPr="00AF7DC5" w:rsidRDefault="00800E8E" w:rsidP="00497907">
            <w:r>
              <w:lastRenderedPageBreak/>
              <w:t>Daļēji ņemts vērā.</w:t>
            </w:r>
          </w:p>
        </w:tc>
        <w:tc>
          <w:tcPr>
            <w:tcW w:w="4156" w:type="dxa"/>
            <w:shd w:val="clear" w:color="auto" w:fill="FFFFFF" w:themeFill="background1"/>
            <w:noWrap/>
            <w:tcMar>
              <w:top w:w="75" w:type="dxa"/>
              <w:left w:w="75" w:type="dxa"/>
              <w:bottom w:w="75" w:type="dxa"/>
              <w:right w:w="75" w:type="dxa"/>
            </w:tcMar>
          </w:tcPr>
          <w:p w14:paraId="02A3F895" w14:textId="77777777" w:rsidR="009D7B1D" w:rsidRPr="00AF7DC5" w:rsidRDefault="004B7054" w:rsidP="00497907">
            <w:r w:rsidRPr="00AF7DC5">
              <w:t>VARAM ieskatā Likumprojektā ietvertā Likuma 4. panta piektā</w:t>
            </w:r>
            <w:r w:rsidR="00EB190C" w:rsidRPr="00AF7DC5">
              <w:t xml:space="preserve"> daļa satur samērīgu regulējumu, kurš ir nepieciešams, lai nodrošinātu efektīvāku derīgo izrakteņu pārvaldību un kontroli</w:t>
            </w:r>
            <w:r w:rsidR="00CF0E89" w:rsidRPr="00AF7DC5">
              <w:t>.</w:t>
            </w:r>
          </w:p>
          <w:p w14:paraId="552A330C" w14:textId="77777777" w:rsidR="00CF0E89" w:rsidRPr="00AF7DC5" w:rsidRDefault="00CF0E89" w:rsidP="00497907"/>
          <w:p w14:paraId="0BBA39F2" w14:textId="77777777" w:rsidR="007331A2" w:rsidRPr="00AF7DC5" w:rsidRDefault="00CF0E89" w:rsidP="00497907">
            <w:r w:rsidRPr="00AF7DC5">
              <w:lastRenderedPageBreak/>
              <w:t>Attiecībā uz Likumprojektā ietverto Likuma 10. panta 1.</w:t>
            </w:r>
            <w:r w:rsidRPr="00AF7DC5">
              <w:rPr>
                <w:vertAlign w:val="superscript"/>
              </w:rPr>
              <w:t>1</w:t>
            </w:r>
            <w:r w:rsidRPr="00AF7DC5">
              <w:t xml:space="preserve"> daļu – VARAM nesaskata fizisku vai juridisku personu dubultas sodīšanas risku, jo minētajā pantā ietvertais regulējums to neparedz. </w:t>
            </w:r>
          </w:p>
          <w:p w14:paraId="7AD8131B" w14:textId="77777777" w:rsidR="00AF7DC5" w:rsidRPr="00AF7DC5" w:rsidRDefault="00AF7DC5" w:rsidP="00497907"/>
          <w:p w14:paraId="2290457B" w14:textId="4E61F20A" w:rsidR="00AF7DC5" w:rsidRPr="00AF7DC5" w:rsidRDefault="00AF7DC5" w:rsidP="00497907">
            <w:r w:rsidRPr="00AF7DC5">
              <w:t>Ar ogļūdeņražu izpēti un ieguvi saistītie grozījumi no Likumprojekta tika izslēgti.</w:t>
            </w:r>
          </w:p>
        </w:tc>
      </w:tr>
      <w:tr w:rsidR="009D7B1D" w14:paraId="4931F86B" w14:textId="77777777" w:rsidTr="00800E8E">
        <w:tc>
          <w:tcPr>
            <w:tcW w:w="750" w:type="dxa"/>
            <w:shd w:val="clear" w:color="auto" w:fill="FFFFFF" w:themeFill="background1"/>
            <w:noWrap/>
            <w:tcMar>
              <w:top w:w="75" w:type="dxa"/>
              <w:left w:w="75" w:type="dxa"/>
              <w:bottom w:w="75" w:type="dxa"/>
              <w:right w:w="75" w:type="dxa"/>
            </w:tcMar>
            <w:vAlign w:val="center"/>
          </w:tcPr>
          <w:p w14:paraId="75A9DB2A" w14:textId="6349EB59" w:rsidR="009D7B1D" w:rsidRPr="00AF7DC5" w:rsidRDefault="009D7B1D">
            <w:pPr>
              <w:jc w:val="center"/>
            </w:pPr>
            <w:r w:rsidRPr="00AF7DC5">
              <w:lastRenderedPageBreak/>
              <w:t>11.</w:t>
            </w:r>
          </w:p>
        </w:tc>
        <w:tc>
          <w:tcPr>
            <w:tcW w:w="2505" w:type="dxa"/>
            <w:shd w:val="clear" w:color="auto" w:fill="FFFFFF" w:themeFill="background1"/>
            <w:noWrap/>
            <w:tcMar>
              <w:top w:w="75" w:type="dxa"/>
              <w:left w:w="75" w:type="dxa"/>
              <w:bottom w:w="75" w:type="dxa"/>
              <w:right w:w="75" w:type="dxa"/>
            </w:tcMar>
            <w:vAlign w:val="center"/>
          </w:tcPr>
          <w:p w14:paraId="1049CD80" w14:textId="57AECD8F" w:rsidR="009D7B1D" w:rsidRPr="00AF7DC5" w:rsidRDefault="00E96A35">
            <w:pPr>
              <w:jc w:val="left"/>
            </w:pPr>
            <w:r w:rsidRPr="00AF7DC5">
              <w:t>SIA “Baltic oil management”</w:t>
            </w:r>
          </w:p>
        </w:tc>
        <w:tc>
          <w:tcPr>
            <w:tcW w:w="5806" w:type="dxa"/>
            <w:shd w:val="clear" w:color="auto" w:fill="FFFFFF" w:themeFill="background1"/>
            <w:noWrap/>
            <w:tcMar>
              <w:top w:w="75" w:type="dxa"/>
              <w:left w:w="75" w:type="dxa"/>
              <w:bottom w:w="75" w:type="dxa"/>
              <w:right w:w="75" w:type="dxa"/>
            </w:tcMar>
            <w:vAlign w:val="center"/>
          </w:tcPr>
          <w:p w14:paraId="7A5D690F" w14:textId="0F51384A" w:rsidR="009D7B1D" w:rsidRPr="00AF7DC5" w:rsidRDefault="00E96A35" w:rsidP="00497907">
            <w:r w:rsidRPr="00AF7DC5">
              <w:t xml:space="preserve">SIA „BALTIC OIL MANAGEMENT” (turpmāk – Licenciāts) sniedz savus iebildumus par likumprojektu “Grozījumi likumā “Par zemes dzīlēm” (turpmāk – Likumprojekts). [1] Likumprojekts neatbilst Likumprojekta anotācijai un neparedz īstenot tādu zemes dzīļu un derīgo izrakteņu politiku, kas stimulētu to ekonomiski pamatotu un ilgtspējīgu izmantošanu. Pretēji norādītajam, ka tās mērķis ir vienkāršot </w:t>
            </w:r>
            <w:r w:rsidRPr="00AF7DC5">
              <w:lastRenderedPageBreak/>
              <w:t xml:space="preserve">administratīvās procedūras zemes dzīļu izmantošanas jomā, Likumprojekts ir ar pretējo efektu. Licenciāts iebilst pret Valsts kontroles revīzijas lietā Nr.2.4.1-38/2016 "Par Latvijas Republikas 2016. gada pārskatu par valsts budžeta izpildi un par pašvaldību budžetiem" secinājumiem, ka līdz šim nav nodrošināta efektīva atbildīgo iestāžu sadarbība un licences darbības kontrole, un normatīvā regulējuma trūkuma dēļ tiek pieļauta nelikumīga ogļūdeņražu ieguve bez darbības apturēšanas iespējām. Ogļūdeņražu meklēšanas, izpētes un ieguves īstenošana vai arī stimulēšana nav nodrošināma, piešķirot papildus tiesības kontrolējošajām iestādēm un nosakot licences darbības kontroles, apturēšanas un anulēšanas kārtību. Lai izslēgtu diskusiju šajā jautājumā, Licenciāts aicina iepazīties ar Lietuvas normatīvo regulējumu ogļūdeņražu izpētes un ieguves jomā, kam seko šīs nozares attīstība un konkurētspēja. Turpretim Latvijā, izņemot licenču skaitu1 , ogļūdeņražu ieguvi veic tikai Licenciāts, kuram tiek arī paredzēts jauns regulējums Likumprojektā. [2] Licenciāts lūdz likuma “Par zemes dzīlēm” (turpmāk – Likums) 1.panta 156 ) punktu izteikt šādā redakcijā: “156 ) ogļūdeņražu ieguve - darbību kopums derīgā izrakteņa atdalīšanai no tā dabiskās vides – zemes apakšslāņiem”. Priekšlikums ir pamatots ar to, ka </w:t>
            </w:r>
            <w:r w:rsidRPr="00AF7DC5">
              <w:lastRenderedPageBreak/>
              <w:t xml:space="preserve">nevienam citam Latvijā iegūstamajam derīgajam izraktenim - kristāliskā pamatklintāja iežiem, dolomītam, kaļķakmenim, smiltij, smiltij, mālam u.c. - ieguve nav definēta kā darbība peļņas gūšanai. Šī brīža ogļūdeņražu ieguves termina skaidrojums neatspoguļo darbību pēc būtības, kā arī nekorekti norāda uz saimnieciskas darbības – komercdarbības formu. Ogļūdeņražu ieguve ir tehnoloģisku un mehānisku darbību komplekss, lai no zemes dzīlēm iegūtu (atdalītu) ogļūdeņražus virszemē un tam sekojošu separēšanu. Ogļūdeņražu ieguves terminoloģijai ir jāatbilst nozarē lietotajiem terminiem un standartiem. 1 https://www.em.gov.lv/lv/zemes-dzilu-izpete [3] Licenciāts neatbalsta Likumprojekta 3.punktu, kas paredz likuma “Par zemes dzīlēm” (turpmāk – Likums) 4.panta ceturtās daļas grozījumus un jauno Ministru kabineta noteikumu izstrādi licences apturēšanai un atcelšanai, t.i., jaunas administratīvās procedūras. Ar licences apturēšanas un atcelšanas nosacījumiem nevar stimulēt ilgtspējīgu un ekonomiski pamatotu zemes dzīļu resursu izmantošanu. Licenciāta ieskatā, Likuma 16.pants ir tā tiesību norma, vadoties pēc kuras izlemjams jautājums par licences apturēšanu un atcelšanu, un šī regulējuma papildināšana ar Ministru kabineta noteikumiem nav tiesiski pamatota. Ņemot vērā minēto, lūdzam </w:t>
            </w:r>
            <w:r w:rsidRPr="00AF7DC5">
              <w:lastRenderedPageBreak/>
              <w:t xml:space="preserve">Likuma 4.panta ceturto daļu izteikt šādā redakcijā: “Ministru kabinets nosaka ogļūdeņražu licenču laukumus, nosacījumus ogļūdeņražu meklēšanas, izpētes un ieguves licences saņemšanai, tās izsniegšanas un izmantošanas uzraudzības kārtību”, t.i., no Likuma 4.panta ceturtās daļas svītrot vārdus “kā arī licences anulēšanas nosacījumus”, kā arī svītrot Likumprojekta pārejas noteikumu 29.punktu. [4] Ir saskatāms, ka Likumprojektā ir nodalīti ogļūdeņraži meklēšanas, izpētes un ieguves darbi no derīgo izrakteņu meklēšanas, izpētes un ieguves, kas nav pareizi. Derīgie izrakteņi tāpat kā ogļūdeņraži var tikt iegūti, ja tiek meklēti un izpētīti. Ogļūdeņraži ir arī derīgais izraktenis, kuru ieguvē ir veicams darbību kopums ogļūdeņražu atdalīšanai no to dabiskas vides. Šī iemesla dēļ Likuma 7.pants nav papildināms ar 6.punktu, lūdzam 7.panta 3.punktu izteikt sekojošā redakcijā: “3) derīgo izrakteņu un ogļūdeņražu meklēšana, izpēte vai ieguve;”. [5] Licenciāts lūdz Likumprojekta 7.punktā - Likuma 9.panta pirmās daļas 6.punktu izteikt sekojošā redakcijā: “6) ogļūdeņražu izpētei un ieguvei – uz laiku līdz 30 gadiem;”. Šādā redakcijā ir nodrošināma ogļūdeņražu ieguves urbumu darbību nepārtrauktība, kas jau ir iekļauta Ministru kabineta 22.12.2015. noteikumu Nr.805 “Noteikumi par ogļūdeņražu meklēšanu, izpēti un </w:t>
            </w:r>
            <w:r w:rsidRPr="00AF7DC5">
              <w:lastRenderedPageBreak/>
              <w:t xml:space="preserve">ieguvi” 178.punktā un paredz, ka licenciāts drīkst uzsākt ogļūdeņražu ieguvi uz sauszemes tikai pēc urbumu un citu ogļūdeņražu ieguvei izmantojamo būvju būvniecības pabeigšanas un nodošanas ekspluatācijā, tai skaitā pirms minimālās ogļūdeņražu izpētes programmas izpildes pilnā apjomā (sk. noteikumu anotāciju2 ). [6] Licenciāts iebilst pret Likumprojekta 8.punktu un neatbalsta ieceri Likuma 10.pantu papildināt ar 1.1 daļu. Zemes dzīļu izmantotājam ir jāievēro zemes dzīļu izmantošanas normatīvo aktu vai zemes dzīļu izmantošanas licences prasības un to nosaka Likuma 6.panta trešā daļa, 14.panta 6.punkts. Licenciātam ir pamats uzskatīt, ka grozījumi tiek veikti speciāli Licenciātam, ievērojot atsauci uz Valsts kontroles ieteikumiem. Eiropas Cilvēktiesību tiesas praksē ir atzīts, ka par kriminālsodu Cilvēktiesību un pamatbrīvību aizsardzības konvencijas Septītais protokola 4.panta izpratnē var tikt atzīts arī tāds sods, kurš formāli nav iekļauts Krimināllikumā. Izskatot Engel un citi pret Nīderlandi lietu, Eiropas Cilvēktiesību tiesa ir noteikusi trīs alternatīvus kritērijus (lietas 82. punktā), pēc kuriem 2 https://tap.mk.gov.lv/lv/mk/tap/?pid=40226327&amp;mode=mk&amp;date=2015-12-22 konstatēt, vai lietai ir krimināllietas pazīmes: konkrētā tiesību pārkāpuma klasifikācija nacionālajā tiesību </w:t>
            </w:r>
            <w:r w:rsidRPr="00AF7DC5">
              <w:lastRenderedPageBreak/>
              <w:t xml:space="preserve">sistēmā, saistot šo pārkāpumu vai nu tikai ar krimināltiesībām vai tikai ar administratīvajām tiesībām, vai arī ar abām kopā; pārkāpuma raksturs; sankcijas atbilstība vai neatbilstības kriminālsfērai. Lai pārkāpumu atzītu par kriminālpārkāpumu Eiropas Cilvēktiesību konvencijas 7.protokola 4.punkta izpratnē, pietiek, ja kaut viens no uzskaitītajiem kritērijiem atbilst tā pazīmēm. Likumprojekta 10.panta 1.1 daļa šķietami nosaka Valsts vides dienesta tiesības atteikt izsniegt zemes dzīļu izmantošanas licenci vai pagarināt jau izsniegtās licences termiņu. Pēc būtības 10.panta 1.1 daļa tieši ir attiecināma uz juridisko vai fizisku personu, kura atkārtoti veikusi prettiesisku derīgo izrakteņu ieguvi, neievērojot zemes dzīļu normatīvo aktu vai zemes dzīļu izmantošanas licences prasības; uz fizisku personu, kura ir vai pēdējo trīs gadu laikā ir bijusi tāda komersanta valdes loceklis, padomes loceklis vai prokūrists (turpmāk – amatpersona), kurš pēdējo trīs gadu laikā atkārtoti ir veicis prettiesisku derīgo izrakteņu ieguvi, neievērojot zemes dzīļu izmantošanas normatīvo aktu vai zemes dzīļu izmantošanas licences prasības; uz juridisku personu, ja tās amatpersona ir vai pēdējo trīs gadu laikā ir bijusi tāda komersanta amatpersona, kurš šīs amatpersonas vadībā atkārtoti ir veicis prettiesisku derīgo izrakteņu ieguvi, neievērojot </w:t>
            </w:r>
            <w:r w:rsidRPr="00AF7DC5">
              <w:lastRenderedPageBreak/>
              <w:t xml:space="preserve">zemes dzīļu izmantošanas normatīvo aktu vai zemes dzīļu izmantošanas licences prasības. Ja ar prettiesisku rīcību ir jāsaprot pierādītas darbības, par kuru vainīgā persona ir sodīta un izcieta sodu, tad ir norādams, ka Krimināllikuma 36.panta otrā daļa paredz papildsodu tiesību ierobežošana. Saskaņā ar Krimināllikuma 44.panta pirmo daļu tiesību ierobežošana ir noteiktu tiesību atņemšana vai tāda aizlieguma noteikšana, kas personai neļauj izmantot noteiktas tiesības, ieņemt noteiktu amatu, veikt noteiktu profesionālu vai cita veida darbību. Administratīvās atbildības likumā soda veids ir tiesību izmantošanas aizliegums - ierobežojums, kas personai noteiktu laiku neļauj izmantot noteiktas tiesības, ieņemt noteiktus amatus vai veikt noteikta veida darbību (likuma 18.panta pirmā daļa). Tiesību izmantošanas aizliegumu nosaka uz laiku no viena mēneša līdz diviem gadiem. No minētā ir secināms, ka 10.panta 1.1 daļā paredzētas sankcijas atbilst kriminālsfērai, piespiedu ietekmēšanas līdzekļiem un tādēļ nav iederīga Likumā, kura mērķis ir nodrošināt zemes dzīļu kompleksu, racionālu, vidi saudzējošu un ilgtspējīgu izmantošanu, kā arī noteikt zemes dzīļu aizsardzības prasības, nevis noteikt sankcijas juridiskām un fiziskām personām par to pārkāpumiem. [7] Licenciāts neatbalsta izteikt Likuma 14.panta 8.punktu jaunā redakcijā, jo šādi </w:t>
            </w:r>
            <w:r w:rsidRPr="00AF7DC5">
              <w:lastRenderedPageBreak/>
              <w:t xml:space="preserve">tiek noteikts nenoteikts atbildības pienākums uz nenoteiktu laiku un tādējādi netiek nodrošināta tiesiska stabilitāte. [8] Licenciāts neatbalsta Likumprojekta 14.punktu un lūdz Likuma 16.panta pirmo daļu izteikt šādā redakcijā: “(1) Valsts vides dienests vai Būvniecības valsts kontroles birojs var pieņem lēmumu par zemes dzīļu izmantošanas ierobežošanu vai apturēšanu, ja tas konstatē, ka tiek pārkāptas zemes dzīļu izmantošanas licences, bieži sastopamo derīgo izrakteņu ieguves atļaujas vai zemes dzīļu izmantošanu regulējošo normatīvo aktu prasības, kā arī tad, ja zemes dzīļu izmantošanas rezultātā rodas draudi cilvēka veselībai, videi vai īpašumam. Valsts vides dienesta lēmumu var apstrīdēt Vides pārraudzības valsts birojā. Vides pārraudzības valsts biroja lēmumu var pārsūdzēt tiesā Administratīvā procesa likumā noteiktajā kārtībā. Būvniecības valsts kontroles biroja lēmumu var pārsūdzēt tiesā Administratīvā procesa likumā noteiktajā kārtībā.”. Priekšlikums ir pamatots ar to, ka var būt dažādi gadījumu, kad formālu apsvērumu dēļ var tikt konstatēts pārkāpums, tomēr tā sekas ir zemes dzīļu izmantošanas ierobežošanu vai apturēšanu. Tādēļ ik katrā gadījumā ir jābūt lietderības apsvērumiem, kuru dēļ var arī nepieņemt lēmumu. Minētais ir attiecināms arī uz Likuma 16.panta trešo daļu. Šī iemesla dēļ lūdzam Likuma 16.panta </w:t>
            </w:r>
            <w:r w:rsidRPr="00AF7DC5">
              <w:lastRenderedPageBreak/>
              <w:t xml:space="preserve">trešās daļas ievaddaļu šādā redakcijā: “(3) Zemes dzīļu izmantošanas licenci tās izsniedzējs var atceļ vai bieži sastopamo derīgo izrakteņu ieguves atļauju Valsts vides dienests var atceļ, ja licences vai atļaujas adresāts:”. Licenciāts lūdz svītrot Likuma 16.panta 5.daļu, t.sk., Likumprojektā piedāvātā redakcijā. Pašvaldībai nav jāuzņemas papildu administratīvais slogs un veikt citu atbildīgo dienestu darbību. Papildus, ievērojot investīciju apjomu ogļūdeņražu izpētē un ieguvē, grozīt Likuma 16.panta sesto daļu, aizstājot vārdu “neaptur” ar vārdu “aptur”. Licenciāts lūdz svītrot grozījumus Likumprojekta 21.pantā. Nav pamatojuma ieviest obligātu prasību būvobjektu būvniecības gaitā izmantoto minerālmateriālu piegādes apjomu reģistrēt Būvniecības informācijas sistēmā, norādot katras piegādes apjomu un sastāvu, minerālmateriālu izcelsmes vietu, derīgo izrakteņu ieguvēju vai minerālmateriālu sagatavotāju, piegādātāju un piegādes adresi (būvobjektu), kā arī dabas resursu aprites izsekojamībai būvniecības procesā (papildināts Likumprojektā 5.pantu ar piekto daļu), nosakot, ka tiek uzturēta informācija par būvniecībā izmantoto dabas resursu izcelsmi un apriti. Licenciāts norāda, ka bieži būvniecības procesā iegūtais materiāls tiek izmantots teritorijas labiekārtošanai. Ņemot vērā visu augstāk minēto, </w:t>
            </w:r>
            <w:r w:rsidRPr="00AF7DC5">
              <w:lastRenderedPageBreak/>
              <w:t>Licenciāts neatbalsta Likumprojektu un lūdz veikt Likumprojekta grozījumus.</w:t>
            </w:r>
          </w:p>
        </w:tc>
        <w:tc>
          <w:tcPr>
            <w:tcW w:w="1350" w:type="dxa"/>
            <w:shd w:val="clear" w:color="auto" w:fill="FFFFFF" w:themeFill="background1"/>
            <w:noWrap/>
            <w:tcMar>
              <w:top w:w="75" w:type="dxa"/>
              <w:left w:w="75" w:type="dxa"/>
              <w:bottom w:w="75" w:type="dxa"/>
              <w:right w:w="75" w:type="dxa"/>
            </w:tcMar>
          </w:tcPr>
          <w:p w14:paraId="6C94622D" w14:textId="3FD0A130" w:rsidR="009D7B1D" w:rsidRPr="00AF7DC5" w:rsidRDefault="00800E8E" w:rsidP="00497907">
            <w:r>
              <w:lastRenderedPageBreak/>
              <w:t>Daļēji ņemts vērā.</w:t>
            </w:r>
          </w:p>
        </w:tc>
        <w:tc>
          <w:tcPr>
            <w:tcW w:w="4156" w:type="dxa"/>
            <w:shd w:val="clear" w:color="auto" w:fill="FFFFFF" w:themeFill="background1"/>
            <w:noWrap/>
            <w:tcMar>
              <w:top w:w="75" w:type="dxa"/>
              <w:left w:w="75" w:type="dxa"/>
              <w:bottom w:w="75" w:type="dxa"/>
              <w:right w:w="75" w:type="dxa"/>
            </w:tcMar>
          </w:tcPr>
          <w:p w14:paraId="138750C3" w14:textId="1E8F4486" w:rsidR="009D7B1D" w:rsidRDefault="00AF7DC5" w:rsidP="00497907">
            <w:r w:rsidRPr="00AF7DC5">
              <w:t>Ar ogļūdeņražu izpēti un ieguvi saistītie grozījumi no Likumprojekta tika izslēgti.</w:t>
            </w:r>
          </w:p>
        </w:tc>
      </w:tr>
    </w:tbl>
    <w:p w14:paraId="086D152F" w14:textId="77777777" w:rsidR="00BA4F71" w:rsidRDefault="00BA4F71"/>
    <w:sectPr w:rsidR="00BA4F71">
      <w:headerReference w:type="default" r:id="rId10"/>
      <w:footerReference w:type="default" r:id="rId11"/>
      <w:headerReference w:type="first" r:id="rId12"/>
      <w:footerReference w:type="first" r:id="rId13"/>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123AA" w14:textId="77777777" w:rsidR="003C725C" w:rsidRDefault="003C725C">
      <w:r>
        <w:separator/>
      </w:r>
    </w:p>
  </w:endnote>
  <w:endnote w:type="continuationSeparator" w:id="0">
    <w:p w14:paraId="54B25E26" w14:textId="77777777" w:rsidR="003C725C" w:rsidRDefault="003C725C">
      <w:r>
        <w:continuationSeparator/>
      </w:r>
    </w:p>
  </w:endnote>
  <w:endnote w:type="continuationNotice" w:id="1">
    <w:p w14:paraId="05517D75" w14:textId="77777777" w:rsidR="003C725C" w:rsidRDefault="003C72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88658" w14:textId="77777777" w:rsidR="00EF6971" w:rsidRDefault="00AA7FC3">
    <w:pPr>
      <w:jc w:val="right"/>
    </w:pPr>
    <w:r>
      <w:rPr>
        <w:sz w:val="24"/>
        <w:szCs w:val="24"/>
      </w:rPr>
      <w:fldChar w:fldCharType="begin"/>
    </w:r>
    <w:r>
      <w:rPr>
        <w:sz w:val="24"/>
        <w:szCs w:val="24"/>
      </w:rPr>
      <w:instrText>PAGE</w:instrText>
    </w:r>
    <w:r>
      <w:rPr>
        <w:sz w:val="24"/>
        <w:szCs w:val="24"/>
      </w:rPr>
      <w:fldChar w:fldCharType="separate"/>
    </w:r>
    <w:r w:rsidR="009D7B1D">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0BBDF" w14:textId="77777777" w:rsidR="00BA4F71" w:rsidRDefault="00AA7FC3">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66CEF" w14:textId="77777777" w:rsidR="003C725C" w:rsidRDefault="003C725C">
      <w:r>
        <w:separator/>
      </w:r>
    </w:p>
  </w:footnote>
  <w:footnote w:type="continuationSeparator" w:id="0">
    <w:p w14:paraId="39954343" w14:textId="77777777" w:rsidR="003C725C" w:rsidRDefault="003C725C">
      <w:r>
        <w:continuationSeparator/>
      </w:r>
    </w:p>
  </w:footnote>
  <w:footnote w:type="continuationNotice" w:id="1">
    <w:p w14:paraId="3C21D9B0" w14:textId="77777777" w:rsidR="003C725C" w:rsidRDefault="003C72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363E8" w14:textId="77777777" w:rsidR="00EF6971" w:rsidRDefault="00AA7FC3">
    <w:pPr>
      <w:pStyle w:val="Header"/>
      <w:contextualSpacing w:val="0"/>
    </w:pPr>
    <w:r>
      <w:t>Viedokļu pārskats 22-TA-2212</w:t>
    </w:r>
    <w:r>
      <w:br/>
      <w:t>Izdrukāts 10.10.2022. 10.13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3F8DB" w14:textId="77777777" w:rsidR="00EF6971" w:rsidRDefault="00AA7FC3">
    <w:pPr>
      <w:pStyle w:val="Header"/>
      <w:contextualSpacing w:val="0"/>
    </w:pPr>
    <w:r>
      <w:t>Viedokļu pārskats 22-TA-2212</w:t>
    </w:r>
    <w:r>
      <w:br/>
      <w:t>Izdrukāts 10.10.2022. 10.13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B27E6"/>
    <w:multiLevelType w:val="hybridMultilevel"/>
    <w:tmpl w:val="A2F8B2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7E204A"/>
    <w:multiLevelType w:val="hybridMultilevel"/>
    <w:tmpl w:val="5060DE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99E4991"/>
    <w:multiLevelType w:val="hybridMultilevel"/>
    <w:tmpl w:val="B60C62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140475">
    <w:abstractNumId w:val="1"/>
  </w:num>
  <w:num w:numId="2" w16cid:durableId="1233810865">
    <w:abstractNumId w:val="2"/>
  </w:num>
  <w:num w:numId="3" w16cid:durableId="755637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971"/>
    <w:rsid w:val="00000B6A"/>
    <w:rsid w:val="000103D9"/>
    <w:rsid w:val="00025EB1"/>
    <w:rsid w:val="00032D4F"/>
    <w:rsid w:val="00032DE3"/>
    <w:rsid w:val="00064874"/>
    <w:rsid w:val="00067C99"/>
    <w:rsid w:val="000778C1"/>
    <w:rsid w:val="00091800"/>
    <w:rsid w:val="0009195A"/>
    <w:rsid w:val="000B03B5"/>
    <w:rsid w:val="000C0BFB"/>
    <w:rsid w:val="000C450A"/>
    <w:rsid w:val="000C7291"/>
    <w:rsid w:val="000D53DD"/>
    <w:rsid w:val="000E4943"/>
    <w:rsid w:val="000E5046"/>
    <w:rsid w:val="000F070A"/>
    <w:rsid w:val="0010282F"/>
    <w:rsid w:val="00103DB2"/>
    <w:rsid w:val="001040F5"/>
    <w:rsid w:val="00125983"/>
    <w:rsid w:val="00131600"/>
    <w:rsid w:val="0013477F"/>
    <w:rsid w:val="00137C2D"/>
    <w:rsid w:val="00144CD2"/>
    <w:rsid w:val="00156BB4"/>
    <w:rsid w:val="00157BAC"/>
    <w:rsid w:val="00160F4D"/>
    <w:rsid w:val="00176FF2"/>
    <w:rsid w:val="001878ED"/>
    <w:rsid w:val="001B14DC"/>
    <w:rsid w:val="001D2DB5"/>
    <w:rsid w:val="001D776B"/>
    <w:rsid w:val="001F192F"/>
    <w:rsid w:val="002162B8"/>
    <w:rsid w:val="002540B0"/>
    <w:rsid w:val="00262003"/>
    <w:rsid w:val="0026583B"/>
    <w:rsid w:val="002716DB"/>
    <w:rsid w:val="002B588B"/>
    <w:rsid w:val="002C491A"/>
    <w:rsid w:val="002E2AE2"/>
    <w:rsid w:val="00303257"/>
    <w:rsid w:val="00306F4C"/>
    <w:rsid w:val="003138A8"/>
    <w:rsid w:val="00322B8F"/>
    <w:rsid w:val="00324393"/>
    <w:rsid w:val="00325FC6"/>
    <w:rsid w:val="003428EE"/>
    <w:rsid w:val="003521D8"/>
    <w:rsid w:val="00355E70"/>
    <w:rsid w:val="00357EEC"/>
    <w:rsid w:val="00373EA3"/>
    <w:rsid w:val="00384E97"/>
    <w:rsid w:val="0039498F"/>
    <w:rsid w:val="003977AF"/>
    <w:rsid w:val="003A36B7"/>
    <w:rsid w:val="003A3CCE"/>
    <w:rsid w:val="003C725C"/>
    <w:rsid w:val="003C7C81"/>
    <w:rsid w:val="003E23E5"/>
    <w:rsid w:val="0040568E"/>
    <w:rsid w:val="004075C2"/>
    <w:rsid w:val="004347A5"/>
    <w:rsid w:val="00435531"/>
    <w:rsid w:val="004511E0"/>
    <w:rsid w:val="00470029"/>
    <w:rsid w:val="00485982"/>
    <w:rsid w:val="00497907"/>
    <w:rsid w:val="004B5483"/>
    <w:rsid w:val="004B7054"/>
    <w:rsid w:val="004C59FB"/>
    <w:rsid w:val="004C7993"/>
    <w:rsid w:val="005014B1"/>
    <w:rsid w:val="00516E19"/>
    <w:rsid w:val="0052051B"/>
    <w:rsid w:val="00523473"/>
    <w:rsid w:val="00535272"/>
    <w:rsid w:val="00535CA7"/>
    <w:rsid w:val="00543F27"/>
    <w:rsid w:val="00564F75"/>
    <w:rsid w:val="005656C1"/>
    <w:rsid w:val="00587EBD"/>
    <w:rsid w:val="005C2293"/>
    <w:rsid w:val="005C674C"/>
    <w:rsid w:val="005D6613"/>
    <w:rsid w:val="00614367"/>
    <w:rsid w:val="00617393"/>
    <w:rsid w:val="00621409"/>
    <w:rsid w:val="006249B6"/>
    <w:rsid w:val="00625D9B"/>
    <w:rsid w:val="006311EE"/>
    <w:rsid w:val="006312BD"/>
    <w:rsid w:val="00660892"/>
    <w:rsid w:val="00664AE4"/>
    <w:rsid w:val="006731C3"/>
    <w:rsid w:val="00674A5C"/>
    <w:rsid w:val="006922E1"/>
    <w:rsid w:val="006A720A"/>
    <w:rsid w:val="006B6581"/>
    <w:rsid w:val="006B7518"/>
    <w:rsid w:val="006D1F54"/>
    <w:rsid w:val="006D3520"/>
    <w:rsid w:val="006E1F81"/>
    <w:rsid w:val="006E54BD"/>
    <w:rsid w:val="00704F52"/>
    <w:rsid w:val="00705BAA"/>
    <w:rsid w:val="00717E75"/>
    <w:rsid w:val="00727C9E"/>
    <w:rsid w:val="007331A2"/>
    <w:rsid w:val="00742E7F"/>
    <w:rsid w:val="00755015"/>
    <w:rsid w:val="00774F4C"/>
    <w:rsid w:val="00777D57"/>
    <w:rsid w:val="00781C50"/>
    <w:rsid w:val="00785B5F"/>
    <w:rsid w:val="007901EA"/>
    <w:rsid w:val="007D4D9D"/>
    <w:rsid w:val="007E28E0"/>
    <w:rsid w:val="007F500C"/>
    <w:rsid w:val="007F798C"/>
    <w:rsid w:val="00800E8E"/>
    <w:rsid w:val="00821DA0"/>
    <w:rsid w:val="00821FA2"/>
    <w:rsid w:val="008248D5"/>
    <w:rsid w:val="0082577A"/>
    <w:rsid w:val="00830310"/>
    <w:rsid w:val="00833167"/>
    <w:rsid w:val="00841150"/>
    <w:rsid w:val="0086330F"/>
    <w:rsid w:val="00866899"/>
    <w:rsid w:val="008709CB"/>
    <w:rsid w:val="00871D77"/>
    <w:rsid w:val="008762E3"/>
    <w:rsid w:val="008865B3"/>
    <w:rsid w:val="008B046B"/>
    <w:rsid w:val="008F30E0"/>
    <w:rsid w:val="008F54F9"/>
    <w:rsid w:val="00903C17"/>
    <w:rsid w:val="00916D01"/>
    <w:rsid w:val="009309F2"/>
    <w:rsid w:val="00937C96"/>
    <w:rsid w:val="00956AB4"/>
    <w:rsid w:val="00960C6F"/>
    <w:rsid w:val="00986992"/>
    <w:rsid w:val="0099289D"/>
    <w:rsid w:val="00996C94"/>
    <w:rsid w:val="009B259C"/>
    <w:rsid w:val="009B49EB"/>
    <w:rsid w:val="009D7B1D"/>
    <w:rsid w:val="009E1C8B"/>
    <w:rsid w:val="009E61F9"/>
    <w:rsid w:val="009F20A5"/>
    <w:rsid w:val="009F20AD"/>
    <w:rsid w:val="00A07DDB"/>
    <w:rsid w:val="00A11DBB"/>
    <w:rsid w:val="00A16D96"/>
    <w:rsid w:val="00A21884"/>
    <w:rsid w:val="00A3436F"/>
    <w:rsid w:val="00A377E0"/>
    <w:rsid w:val="00A50EE3"/>
    <w:rsid w:val="00A57215"/>
    <w:rsid w:val="00A73BF1"/>
    <w:rsid w:val="00A814DE"/>
    <w:rsid w:val="00A82418"/>
    <w:rsid w:val="00AA2302"/>
    <w:rsid w:val="00AA3AB6"/>
    <w:rsid w:val="00AA45AE"/>
    <w:rsid w:val="00AA7FC3"/>
    <w:rsid w:val="00AE2A67"/>
    <w:rsid w:val="00AE309F"/>
    <w:rsid w:val="00AE5253"/>
    <w:rsid w:val="00AF7DC5"/>
    <w:rsid w:val="00B016D0"/>
    <w:rsid w:val="00B22348"/>
    <w:rsid w:val="00B27F74"/>
    <w:rsid w:val="00B327C3"/>
    <w:rsid w:val="00B72F10"/>
    <w:rsid w:val="00B92DDD"/>
    <w:rsid w:val="00BA4F71"/>
    <w:rsid w:val="00BB629E"/>
    <w:rsid w:val="00BD2161"/>
    <w:rsid w:val="00BD4858"/>
    <w:rsid w:val="00BE2E0C"/>
    <w:rsid w:val="00BE3711"/>
    <w:rsid w:val="00C0683B"/>
    <w:rsid w:val="00C106D8"/>
    <w:rsid w:val="00C13266"/>
    <w:rsid w:val="00C23EE6"/>
    <w:rsid w:val="00C2587B"/>
    <w:rsid w:val="00C65D43"/>
    <w:rsid w:val="00C706D8"/>
    <w:rsid w:val="00C746FD"/>
    <w:rsid w:val="00C8126F"/>
    <w:rsid w:val="00C87EBF"/>
    <w:rsid w:val="00C901B3"/>
    <w:rsid w:val="00C91307"/>
    <w:rsid w:val="00CA3FD2"/>
    <w:rsid w:val="00CD397D"/>
    <w:rsid w:val="00CF0E89"/>
    <w:rsid w:val="00D003D4"/>
    <w:rsid w:val="00D16A29"/>
    <w:rsid w:val="00D215EC"/>
    <w:rsid w:val="00D26728"/>
    <w:rsid w:val="00D41069"/>
    <w:rsid w:val="00D4690E"/>
    <w:rsid w:val="00D579E1"/>
    <w:rsid w:val="00D61520"/>
    <w:rsid w:val="00D7086D"/>
    <w:rsid w:val="00D83178"/>
    <w:rsid w:val="00DA2C3F"/>
    <w:rsid w:val="00DD20A3"/>
    <w:rsid w:val="00DD46D1"/>
    <w:rsid w:val="00DE5558"/>
    <w:rsid w:val="00DF24FB"/>
    <w:rsid w:val="00E044AF"/>
    <w:rsid w:val="00E25E23"/>
    <w:rsid w:val="00E36618"/>
    <w:rsid w:val="00E40834"/>
    <w:rsid w:val="00E41F54"/>
    <w:rsid w:val="00E46818"/>
    <w:rsid w:val="00E53F29"/>
    <w:rsid w:val="00E61BC8"/>
    <w:rsid w:val="00E7072E"/>
    <w:rsid w:val="00E72276"/>
    <w:rsid w:val="00E85A60"/>
    <w:rsid w:val="00E96A35"/>
    <w:rsid w:val="00EB190C"/>
    <w:rsid w:val="00EB450B"/>
    <w:rsid w:val="00EC1996"/>
    <w:rsid w:val="00EC4307"/>
    <w:rsid w:val="00ED48C5"/>
    <w:rsid w:val="00ED7DB3"/>
    <w:rsid w:val="00EF012C"/>
    <w:rsid w:val="00EF6971"/>
    <w:rsid w:val="00EF733C"/>
    <w:rsid w:val="00F06E8E"/>
    <w:rsid w:val="00F1300A"/>
    <w:rsid w:val="00F24A28"/>
    <w:rsid w:val="00F270D4"/>
    <w:rsid w:val="00F43EBD"/>
    <w:rsid w:val="00F72BDA"/>
    <w:rsid w:val="00F86254"/>
    <w:rsid w:val="00F958D5"/>
    <w:rsid w:val="00FA189F"/>
    <w:rsid w:val="00FB6F8C"/>
    <w:rsid w:val="00FB7AD0"/>
    <w:rsid w:val="00FC0B64"/>
    <w:rsid w:val="00FC27D6"/>
    <w:rsid w:val="00FD2B73"/>
    <w:rsid w:val="00FD5DFF"/>
    <w:rsid w:val="00FD7F80"/>
    <w:rsid w:val="00FE2AF3"/>
    <w:rsid w:val="00FE7D2A"/>
    <w:rsid w:val="00FF6B88"/>
    <w:rsid w:val="1605417F"/>
    <w:rsid w:val="1649097E"/>
    <w:rsid w:val="17CCE072"/>
    <w:rsid w:val="2752F03B"/>
    <w:rsid w:val="2FED9C77"/>
    <w:rsid w:val="333C71E2"/>
    <w:rsid w:val="3C766763"/>
    <w:rsid w:val="485170BA"/>
    <w:rsid w:val="4D804E20"/>
    <w:rsid w:val="4F12F28D"/>
    <w:rsid w:val="51838280"/>
    <w:rsid w:val="5A13B416"/>
    <w:rsid w:val="5BA65883"/>
    <w:rsid w:val="61D88434"/>
    <w:rsid w:val="6C375F93"/>
    <w:rsid w:val="6CBC0CC9"/>
    <w:rsid w:val="7B971F66"/>
    <w:rsid w:val="7D934E7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E0C55"/>
  <w15:docId w15:val="{76B75230-B8AC-4E89-AE84-EFACF2D0D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9D7B1D"/>
    <w:rPr>
      <w:color w:val="0563C1" w:themeColor="hyperlink"/>
      <w:u w:val="single"/>
    </w:rPr>
  </w:style>
  <w:style w:type="character" w:styleId="UnresolvedMention">
    <w:name w:val="Unresolved Mention"/>
    <w:basedOn w:val="DefaultParagraphFont"/>
    <w:uiPriority w:val="99"/>
    <w:semiHidden/>
    <w:unhideWhenUsed/>
    <w:rsid w:val="009D7B1D"/>
    <w:rPr>
      <w:color w:val="605E5C"/>
      <w:shd w:val="clear" w:color="auto" w:fill="E1DFDD"/>
    </w:rPr>
  </w:style>
  <w:style w:type="paragraph" w:styleId="ListParagraph">
    <w:name w:val="List Paragraph"/>
    <w:basedOn w:val="Normal"/>
    <w:uiPriority w:val="34"/>
    <w:qFormat/>
    <w:rsid w:val="00DE5558"/>
    <w:pPr>
      <w:ind w:left="720"/>
      <w:contextualSpacing/>
    </w:pPr>
  </w:style>
  <w:style w:type="character" w:styleId="CommentReference">
    <w:name w:val="annotation reference"/>
    <w:basedOn w:val="DefaultParagraphFont"/>
    <w:uiPriority w:val="99"/>
    <w:semiHidden/>
    <w:unhideWhenUsed/>
    <w:rsid w:val="00FC0B64"/>
    <w:rPr>
      <w:sz w:val="16"/>
      <w:szCs w:val="16"/>
    </w:rPr>
  </w:style>
  <w:style w:type="paragraph" w:styleId="CommentText">
    <w:name w:val="annotation text"/>
    <w:basedOn w:val="Normal"/>
    <w:link w:val="CommentTextChar"/>
    <w:uiPriority w:val="99"/>
    <w:unhideWhenUsed/>
    <w:rsid w:val="00FC0B64"/>
    <w:rPr>
      <w:sz w:val="20"/>
    </w:rPr>
  </w:style>
  <w:style w:type="character" w:customStyle="1" w:styleId="CommentTextChar">
    <w:name w:val="Comment Text Char"/>
    <w:basedOn w:val="DefaultParagraphFont"/>
    <w:link w:val="CommentText"/>
    <w:uiPriority w:val="99"/>
    <w:rsid w:val="00FC0B64"/>
    <w:rPr>
      <w:sz w:val="20"/>
    </w:rPr>
  </w:style>
  <w:style w:type="paragraph" w:styleId="CommentSubject">
    <w:name w:val="annotation subject"/>
    <w:basedOn w:val="CommentText"/>
    <w:next w:val="CommentText"/>
    <w:link w:val="CommentSubjectChar"/>
    <w:uiPriority w:val="99"/>
    <w:semiHidden/>
    <w:unhideWhenUsed/>
    <w:rsid w:val="00FC0B64"/>
    <w:rPr>
      <w:b/>
      <w:bCs/>
    </w:rPr>
  </w:style>
  <w:style w:type="character" w:customStyle="1" w:styleId="CommentSubjectChar">
    <w:name w:val="Comment Subject Char"/>
    <w:basedOn w:val="CommentTextChar"/>
    <w:link w:val="CommentSubject"/>
    <w:uiPriority w:val="99"/>
    <w:semiHidden/>
    <w:rsid w:val="00FC0B64"/>
    <w:rPr>
      <w:b/>
      <w:bCs/>
      <w:sz w:val="20"/>
    </w:rPr>
  </w:style>
  <w:style w:type="paragraph" w:styleId="NormalWeb">
    <w:name w:val="Normal (Web)"/>
    <w:basedOn w:val="Normal"/>
    <w:uiPriority w:val="99"/>
    <w:unhideWhenUsed/>
    <w:rsid w:val="006E54BD"/>
    <w:pPr>
      <w:spacing w:before="100" w:beforeAutospacing="1" w:after="100" w:afterAutospacing="1"/>
      <w:jc w:val="left"/>
    </w:pPr>
    <w:rPr>
      <w:color w:val="auto"/>
      <w:sz w:val="24"/>
      <w:szCs w:val="24"/>
    </w:rPr>
  </w:style>
  <w:style w:type="paragraph" w:customStyle="1" w:styleId="naisc">
    <w:name w:val="naisc"/>
    <w:basedOn w:val="Normal"/>
    <w:rsid w:val="00960C6F"/>
    <w:pPr>
      <w:spacing w:before="75" w:after="75"/>
      <w:jc w:val="center"/>
    </w:pPr>
    <w:rPr>
      <w:color w:val="auto"/>
      <w:sz w:val="24"/>
      <w:szCs w:val="24"/>
    </w:rPr>
  </w:style>
  <w:style w:type="paragraph" w:styleId="FootnoteText">
    <w:name w:val="footnote text"/>
    <w:basedOn w:val="Normal"/>
    <w:link w:val="FootnoteTextChar"/>
    <w:uiPriority w:val="99"/>
    <w:semiHidden/>
    <w:unhideWhenUsed/>
    <w:rsid w:val="00960C6F"/>
    <w:pPr>
      <w:jc w:val="left"/>
    </w:pPr>
    <w:rPr>
      <w:rFonts w:ascii="Calibri" w:eastAsia="Calibri" w:hAnsi="Calibri"/>
      <w:color w:val="auto"/>
      <w:sz w:val="20"/>
      <w:lang w:eastAsia="en-US"/>
    </w:rPr>
  </w:style>
  <w:style w:type="character" w:customStyle="1" w:styleId="FootnoteTextChar">
    <w:name w:val="Footnote Text Char"/>
    <w:basedOn w:val="DefaultParagraphFont"/>
    <w:link w:val="FootnoteText"/>
    <w:uiPriority w:val="99"/>
    <w:semiHidden/>
    <w:rsid w:val="00960C6F"/>
    <w:rPr>
      <w:rFonts w:ascii="Calibri" w:eastAsia="Calibri" w:hAnsi="Calibri"/>
      <w:color w:val="auto"/>
      <w:sz w:val="20"/>
      <w:lang w:eastAsia="en-US"/>
    </w:rPr>
  </w:style>
  <w:style w:type="character" w:styleId="FootnoteReference">
    <w:name w:val="footnote reference"/>
    <w:uiPriority w:val="99"/>
    <w:semiHidden/>
    <w:unhideWhenUsed/>
    <w:rsid w:val="00960C6F"/>
    <w:rPr>
      <w:vertAlign w:val="superscript"/>
    </w:rPr>
  </w:style>
  <w:style w:type="paragraph" w:styleId="Footer">
    <w:name w:val="footer"/>
    <w:basedOn w:val="Normal"/>
    <w:link w:val="FooterChar"/>
    <w:uiPriority w:val="99"/>
    <w:semiHidden/>
    <w:unhideWhenUsed/>
    <w:rsid w:val="00E25E23"/>
    <w:pPr>
      <w:tabs>
        <w:tab w:val="center" w:pos="4153"/>
        <w:tab w:val="right" w:pos="8306"/>
      </w:tabs>
    </w:pPr>
  </w:style>
  <w:style w:type="character" w:customStyle="1" w:styleId="FooterChar">
    <w:name w:val="Footer Char"/>
    <w:basedOn w:val="DefaultParagraphFont"/>
    <w:link w:val="Footer"/>
    <w:uiPriority w:val="99"/>
    <w:semiHidden/>
    <w:rsid w:val="00E25E23"/>
  </w:style>
  <w:style w:type="paragraph" w:customStyle="1" w:styleId="pf0">
    <w:name w:val="pf0"/>
    <w:basedOn w:val="Normal"/>
    <w:rsid w:val="00777D57"/>
    <w:pPr>
      <w:spacing w:before="100" w:beforeAutospacing="1" w:after="100" w:afterAutospacing="1"/>
      <w:jc w:val="left"/>
    </w:pPr>
    <w:rPr>
      <w:color w:val="auto"/>
      <w:sz w:val="24"/>
      <w:szCs w:val="24"/>
    </w:rPr>
  </w:style>
  <w:style w:type="character" w:customStyle="1" w:styleId="cf01">
    <w:name w:val="cf01"/>
    <w:basedOn w:val="DefaultParagraphFont"/>
    <w:rsid w:val="00777D57"/>
    <w:rPr>
      <w:rFonts w:ascii="Segoe UI" w:hAnsi="Segoe UI" w:cs="Segoe UI" w:hint="default"/>
      <w:color w:val="333333"/>
      <w:sz w:val="18"/>
      <w:szCs w:val="18"/>
    </w:rPr>
  </w:style>
  <w:style w:type="paragraph" w:styleId="Revision">
    <w:name w:val="Revision"/>
    <w:hidden/>
    <w:uiPriority w:val="99"/>
    <w:semiHidden/>
    <w:rsid w:val="00BE3711"/>
    <w:pPr>
      <w:jc w:val="left"/>
    </w:pPr>
  </w:style>
  <w:style w:type="character" w:customStyle="1" w:styleId="cf11">
    <w:name w:val="cf11"/>
    <w:basedOn w:val="DefaultParagraphFont"/>
    <w:rsid w:val="00BE3711"/>
    <w:rPr>
      <w:rFonts w:ascii="Segoe UI" w:hAnsi="Segoe UI" w:cs="Segoe UI" w:hint="default"/>
      <w:color w:val="333333"/>
      <w:sz w:val="18"/>
      <w:szCs w:val="18"/>
      <w:u w:val="single"/>
    </w:rPr>
  </w:style>
  <w:style w:type="character" w:styleId="Mention">
    <w:name w:val="Mention"/>
    <w:basedOn w:val="DefaultParagraphFont"/>
    <w:uiPriority w:val="99"/>
    <w:unhideWhenUsed/>
    <w:rsid w:val="00DD46D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595288">
      <w:bodyDiv w:val="1"/>
      <w:marLeft w:val="0"/>
      <w:marRight w:val="0"/>
      <w:marTop w:val="0"/>
      <w:marBottom w:val="0"/>
      <w:divBdr>
        <w:top w:val="none" w:sz="0" w:space="0" w:color="auto"/>
        <w:left w:val="none" w:sz="0" w:space="0" w:color="auto"/>
        <w:bottom w:val="none" w:sz="0" w:space="0" w:color="auto"/>
        <w:right w:val="none" w:sz="0" w:space="0" w:color="auto"/>
      </w:divBdr>
    </w:div>
    <w:div w:id="778839808">
      <w:bodyDiv w:val="1"/>
      <w:marLeft w:val="0"/>
      <w:marRight w:val="0"/>
      <w:marTop w:val="0"/>
      <w:marBottom w:val="0"/>
      <w:divBdr>
        <w:top w:val="none" w:sz="0" w:space="0" w:color="auto"/>
        <w:left w:val="none" w:sz="0" w:space="0" w:color="auto"/>
        <w:bottom w:val="none" w:sz="0" w:space="0" w:color="auto"/>
        <w:right w:val="none" w:sz="0" w:space="0" w:color="auto"/>
      </w:divBdr>
    </w:div>
    <w:div w:id="864442223">
      <w:bodyDiv w:val="1"/>
      <w:marLeft w:val="0"/>
      <w:marRight w:val="0"/>
      <w:marTop w:val="0"/>
      <w:marBottom w:val="0"/>
      <w:divBdr>
        <w:top w:val="none" w:sz="0" w:space="0" w:color="auto"/>
        <w:left w:val="none" w:sz="0" w:space="0" w:color="auto"/>
        <w:bottom w:val="none" w:sz="0" w:space="0" w:color="auto"/>
        <w:right w:val="none" w:sz="0" w:space="0" w:color="auto"/>
      </w:divBdr>
    </w:div>
    <w:div w:id="1526215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atalija.slaidina/Downloads/LVGMC_Derigo_izraktenu_krajumu_akceptesanas_komisijas_nolikums.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4024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690F0-FB01-49F9-9F2F-1365F1E07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70270</Words>
  <Characters>40054</Characters>
  <Application>Microsoft Office Word</Application>
  <DocSecurity>0</DocSecurity>
  <Lines>333</Lines>
  <Paragraphs>220</Paragraphs>
  <ScaleCrop>false</ScaleCrop>
  <Company/>
  <LinksUpToDate>false</LinksUpToDate>
  <CharactersWithSpaces>110104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viedoklu_parskats_22-TA-2212.docx</dc:title>
  <dc:subject/>
  <dc:creator>Natālija Slaidiņa</dc:creator>
  <cp:keywords/>
  <cp:lastModifiedBy>Natālija Slaidiņa</cp:lastModifiedBy>
  <cp:revision>9</cp:revision>
  <dcterms:created xsi:type="dcterms:W3CDTF">2022-12-05T11:16:00Z</dcterms:created>
  <dcterms:modified xsi:type="dcterms:W3CDTF">2023-10-30T10:36:00Z</dcterms:modified>
</cp:coreProperties>
</file>