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ietvertās atsauces uz Eiropas Savienības regulu prasībām, kā arī, piemēram, projekta 3. punktā ietverto atsauci uz regulas normu, lūdzam izvērtēt un, ja projektā ir ieviestas Eiropas Savienības regulas vai regulu prasības, aizpildīt anotācijas 5.1. sadaļu un 5.4. sadaļas 1. tabulu, sniedzot informāciju par attiecīgo projekta normu atbilstību Eiropas Savienības prasībām.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grozījumu redakcija rada risku, ka praktiski tiks zaudēti visi potenciālie zālāju biotopi, jo zaļās masas novākšanas problēma pastāv tajās saimniecībās, kurās nav lopi, un piedāvātās redakcijas sekas varētu būt, ka šajās saimniecībās nopļautā zālāju biomasa vairs netiks savākta.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pamats piemērot atkāpes bez izmaksu pārskatīšanas, i​​​​​​r jābūt skaidri definētam, ka mulcēšanas vai zāles biomasas atstāšanas izmaksas pēc nopļaušanas ir zemākas nekā tad, ja tiek vālots un novākts siens vai nodrošināta ganīšana. Lūdzam izvērtēt piemērojamo atbalsta finansējumu platībām, kurās tiek veikta tikai mulčēšana, jo mulčēšanas izdevumi ir mazāki nekā nodrošinot biomasas novākšanu, līdz ar to atbalsta maksājumam par mulčēšanu jābūt mazākam.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vienāds atbalsta maksājums gan par mulčēšanu, gan par zālāja novākšanu, tas rada atbalsta piemērošanas nevienlīdzību, var radīt papildu neapmierinātību no tiem atbalsta pretendentiem, kuriem ir reģistrēti bioloģiski vērtīgie zālāji, kas prasa papildu resursus un atbilstošas apsaimniekošanas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anotācijā sniegto aprakstu, ka “zālāju apsaimniekošanā ir nepieciešams gan dažreiz atstāt biomasu uz lauka, gan arī novākt zāles biomasu”, tomēr nav skaidrs, kā šī izvēle tiks kontrolēta, vai ir plānots zālāja nepļaušanu pieļaut caur pļavu apsaimniekošanas plāniem, izvērtējot konkrēto vietu, vai piemērojot citus uzraudzības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šis grozījums tiek piemērots saskaņā ar Kopējās lauksaimniecības politikas stratēģiskā plāna 2023. – 2027. gadam grozījumiem, ko ir apstiprinājusi Eiropas Komisija. Grozījumu priekšlikumi ir tikuši plaši apspriesti un tālākai virzībai apstiprināti arī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iebildumu par  atbalsta likmes diferencēšanu, norādām, ka tiešo maksājumu satvarā, attiecībā uz ilggadīgajiem zālājiem šāda  iespēja nepastāv, jo prasības zālāju apsaimniekošanai - zālāju nopļaušana -  ir pamata prasība atbalsta maksājumu saņemšanai. Kā arī tiešo maksājumu likmes nav paredzēts diferencēt ņemot vērā izdevumu kategorijas, regulās ir paredzēta iespēja noteikt dažādas likmes ilgtspēju sekmējošajam ienākumu pamatatbalstam tikai ņemot vērā reģionālo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Ilggadīgajos zālājos īstenojamās prakses izvēle – novākt nopļauto zāli vai to mulčēt un sasmalcināto zaļmasu atstāt uz lauka, paliek lauksaimnieka ziņā un atbildībā, ņemot vērā, ka ir dažādi zālāju veidi un to izmantošanas iespējas. Šo izvēli nav paredzēts kontrolēt,  arī zālāju apsaimniekošanas plāni šobrīd nav iekļauti tiešo maksājumu atbalsta piešķiršanas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prasība par nopļautās zāles novākšanu paliek spēkā attiecībā uz bioloģiski vērtīgajiem zālājiem, par kuriem atbalsta pretendents uzņemas brīvprātīgas saistības agrovides intervencē "Zālāju biotopu apsaimniekošana". Līdz ar to norādām, ka šajā gadījumā par attiecīgajām  bioloģiski vērtīgo zālāju platībām, papildus tiešo maksājumu atbalstam, atkarībā no zālāju klases, agrovides ietvaros var saņemt atbalstu ar likmi 96 – 338 euro/ha.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informējam, ka Zemkopības ministrija pašlaik izstrādā jaunus investīciju noteikumus, kuru mērķis ir sniegt 90% līdzfinansējumu potenciālo zālāju biotopu  atjaunošanai un izveidei par bioloģiski vērīgu zālāju platībām. Lauku atbalsta dienestā tiks izveidots slānis ar šīm teritorijām aptuveni 15 000 ha platībā, pamatojoties uz Dabas aizsardzības pārvaldes dabas datu pārvaldības sistēmas "Ozols"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jābūt pamatotām visām ar projektu paredzētajām izmaiņām Ministru kabineta 2023. gada 18. aprīļa noteikumos Nr. 198 "Tiešo maksājumu piešķiršanas kārtība lauksaimniekiem" (turpmāk - Noteikumi). Norādām, ka ne visas izmaiņas anotācijā pašreiz ir pamatotas. Piemēram, anotācijā, šķiet, nav ietverts skaidrojums par to, kāpēc Noteikumu 15. punkts aiz vārda "noganīti" papildināts ar frāzi "un nepietiekami noganītā platība appļauta", un attiecīgi nav skaidrs, kāda ir prasības ietekme uz atbalsta saņēmējiem. It īpaši, ņemot vērā, ka ietverta norāde, ka tam ir jābūt izdarītam līdz kārtējā gada 15. augustam, prasība attiecībā uz 2023. gadu, šķiet, paredz atpakaļejošu spēku, kas Latvijas tiesību sistēmā nav pieļaujams. Norādām, ka Oficiālo publikāciju un tiesiskās informācijas likuma 9. panta ceturtā daļa noteic, ka normatīvajiem aktiem nav atpakaļejoša spēka, izņemot likumā īpaši paredzētus gadījumus. Turklāt projekta 22. punktā grozījumam Noteikumu 15. punktā turklāt atliekoša spēkā stāšanās ar 2024. gada 1. janvāri pašreiz nav paredzēta. Attiecīgi lūdzam sniegt pamatojumu anotācijā vai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punktā  prasība par nepietiekami noganītās platības appļaušanu netiek grozīta, punkts tiek redakcionāli precizēts, minēto frāzi pārnesot uz citu teikuma daļu, lai  svītrojot prasību par nopļautās zāles novākšanu netiktu svītrota arī šī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punkta šobrīd spēkā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Aramzemē sēts zālājs, tīrsējā sēti tauriņzieži un ilggadīgais zālājs ir atbalsttiesīgi tiešo maksājumu saņemšanai, ja tie ir noganīti vai nopļauti līdz kārtējā gada 15. augustam un nopļautā zālaugu masa ir novākta līdz kārtējā gada 15. septembrim neatkarīgi no pļaušanas reižu skaita. </w:t>
            </w:r>
            <w:r w:rsidR="00000000" w:rsidRPr="00000000" w:rsidDel="00000000">
              <w:rPr>
                <w:b w:val="1"/>
                <w:u w:val="single"/>
                <w:rtl w:val="0"/>
              </w:rPr>
              <w:t xml:space="preserve">Nepietiekami noganīto platību appļauj</w:t>
            </w:r>
            <w:r w:rsidR="00000000" w:rsidRPr="00000000" w:rsidDel="00000000">
              <w:rPr>
                <w:rtl w:val="0"/>
              </w:rPr>
              <w:t xml:space="preserve">, izņemot: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augusts ir termiņš līdz kuram lauksaimniekiem ir jāveic zālāju nopļaušana vispārējā gadījumā. Savukārt pašreiz spēkā esošajā 15. punkta redakcija paredz nopļautās zālāju masas novākšanu līdz 15. septembrim. Atceļot šo prasību tiek mazināts slogs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tiek atcelta saskaņā ar ZM veiktajiem KLP stratēģiskā plāna 2023. – 2027. gadam grozījumus, kas ir saskaņoti ar Eiropas Komisiju, diemžēl saskaņošanas process ir ievilcies un šo prasību ir iespējams atcelt tikai šobrīd. Līdz ar to šiem grozījumiem ir jāstājas spēkā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ir plaši atbalstīti no lauksaimnieku puses, kā arī lauksaimnieki ir plaši tikuši informēti par šīs prasības atcelšanu jau šogad.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standarta izlaides rādītājs par kārtējā gadā tiešajiem maksājumiem noteikto hektāru, izņemot ilggadīgo zālāju, kas atzīts par bioloģiski vērtīgu zālāju vai no lauksaimnieciskās darbības atkarīgu Eiropas Savienības nozīmes zālāju biotopu un putnu dzīvotni, ir vismaz 400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vai precizēt noteikumu redakciju par ilgtspēju sekmējošo ienākumu pamatatbalstu (ISIP)  bioloģiski vērtīgajiem zālājiem gadījumā, ja bez bioloģiski vērtīgā zālāja tiek deklarētas arī citas nelielas platības (piemēram, dārziņš u.c.). Lūdzam precizēt, vai ISIP ir piemērojams arī tādā gadījumā, ja visa pieteiktā platība nav bioloģiski vērtīgais zālājs.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198 36.6. apakšpunkts netiek grozīts.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 sekmējošais ienākumu pamatatbalsts tiek piešķirts arī gadījumā, ja visa pieteiktā saimniecības platība nav bioloģiski vērtīgā zālājs, tai skaitā arī citas deklarētās nelielas platības (piemēram, dārziņš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198 36.6. apakšpunktu, attiecībā uz platību, kas nav bioloģiski vērtīgais zālāja, ir jānodrošina standarta izlaide vismaz 400 euro/ha - vidējais standarta izlaides rādītājs par kārtējā gadā tiešajiem maksājumiem noteikto hektāru, ilggadīgo zālāju, kas atzīts par bioloģiski vērtīgu zālāju vai no lauksaimnieciskās darbības atkarīgu Eiropas Savienības nozīmes zālāju biotopu un putnu dzīvotni, ir vismaz 400 euro/ha. Ja saimniecībā ir tikai izņēmumā minētā veida platības, tad tiks uzskatīts, ka pretendents ir aktīvs lauksaimnieks, un viņš varēs pretendēt uz tiešajiem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deklarējot šīs platības lauksaimniecisko aktivitāti var pierādīt arī izmantojot citus MK noteikumu Nr. 198 36. punktā minētos kritērijus vai arī var nepieteikt šis nelielās platības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standarta izlaides rādītājs par kārtējā gadā tiešajiem maksājumiem noteikto hektāru, izņemot ilggadīgo zālāju, kas atzīts par bioloģiski vērtīgu zālāju vai no lauksaimnieciskās darbības atkarīgu Eiropas Savienības nozīmes zālāju biotopu un putnu dzīvotni, ir vismaz 400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Ja platība, kuru saskaņā ar šo noteikumu </w:t>
            </w:r>
            <w:r w:rsidR="00000000" w:rsidRPr="00000000" w:rsidDel="00000000">
              <w:rPr>
                <w:rtl w:val="0"/>
              </w:rPr>
              <w:t xml:space="preserve">319.</w:t>
            </w:r>
            <w:r w:rsidR="00000000" w:rsidRPr="00000000" w:rsidDel="00000000">
              <w:rPr>
                <w:rtl w:val="0"/>
              </w:rPr>
              <w:t xml:space="preserve"> punktu</w:t>
            </w:r>
            <w:r w:rsidR="00000000" w:rsidRPr="00000000" w:rsidDel="00000000">
              <w:rPr>
                <w:rtl w:val="0"/>
              </w:rPr>
              <w:t xml:space="preserve"> izmanto ekoshēmas atbalsta aprēķinam par videi un klimatam labvēlīgu lauksaimniecības praksi vai par agroekoloģijas praksi bioloģiskās saimniecībās, atšķiras no platības, kas izmantojama attiecīgās ekoshēmas atbalsta aprēķināšanai pēc šo noteikumu  </w:t>
            </w:r>
            <w:r w:rsidR="00000000" w:rsidRPr="00000000" w:rsidDel="00000000">
              <w:rPr>
                <w:rtl w:val="0"/>
              </w:rPr>
              <w:t xml:space="preserve">320.</w:t>
            </w:r>
            <w:r w:rsidR="00000000" w:rsidRPr="00000000" w:rsidDel="00000000">
              <w:rPr>
                <w:rtl w:val="0"/>
              </w:rPr>
              <w:t xml:space="preserve"> un </w:t>
            </w:r>
            <w:r w:rsidR="00000000" w:rsidRPr="00000000" w:rsidDel="00000000">
              <w:rPr>
                <w:rtl w:val="0"/>
              </w:rPr>
              <w:t xml:space="preserve">321.</w:t>
            </w:r>
            <w:r w:rsidR="00000000" w:rsidRPr="00000000" w:rsidDel="00000000">
              <w:rPr>
                <w:rtl w:val="0"/>
              </w:rPr>
              <w:t xml:space="preserve"> punkta</w:t>
            </w:r>
            <w:r w:rsidR="00000000" w:rsidRPr="00000000" w:rsidDel="00000000">
              <w:rPr>
                <w:rtl w:val="0"/>
              </w:rPr>
              <w:t xml:space="preserve"> prasību piemērošanas, attiecīgās ekoshēmas atbalstu aprēķina, pamatojoties uz šo pēdējo platību,  kas samazināta par konstatēto pārsniegumu reizinātu ar koeficientu viens, ja konstatētais pārsniegums lielāks nekā trīs procenti vai divi hektāri.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Noteikumu 322. un 323. punktā, kā arī 371. punktā veikto izmaiņu būtību un nepieciešamību, tostarp skaidrojot, vai un kāda ietekme izmaiņām ir uz atbalsta saņēmējiem un jau saņemto atbalstu (ja atbalsts jau saskaņā ar Noteikumiem ir piešķirts). Proti, anotācijā minēts, ka attiecīgie punkti precizēti vai papildināti, taču nav ietverts skaidrojums, kādēļ nepieciešamas tieši šādas izmaiņas un kāda ir to ietekme. Attiecīgi lūdzam sniegt izvērstāku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6. sadaļā minēts, ka "</w:t>
            </w:r>
            <w:r w:rsidR="00000000" w:rsidRPr="00000000" w:rsidDel="00000000">
              <w:rPr>
                <w:i w:val="1"/>
                <w:rtl w:val="0"/>
              </w:rPr>
              <w:t xml:space="preserve">Lauksaimniecības organizāciju sadarbības padome, Latvijas Bioloģiskās lauksaimniecības asociācija, Latvijas Zemnieku federācija un Biedrība “Zemnieku saeima” ir izteikušas atšķirīgus viedokļus par ZM priekšlikumu attiecībā uz finansējumu pārdalēm ekoshēmu ietvaros</w:t>
            </w:r>
            <w:r w:rsidR="00000000" w:rsidRPr="00000000" w:rsidDel="00000000">
              <w:rPr>
                <w:rtl w:val="0"/>
              </w:rPr>
              <w:t xml:space="preserve">". Aicinām izvērstāk skaidrot, kādus viedokļus nevalstiskās organizācijas izteikušas un kā tie ņemti vai nav ņemti vērā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atbalsts saskaņā ar MK noteikumiem Nr, 198 sāk izmaksāt tikai ne ātrāk kā kārtējā gada 16. oktobrī, līdz ar to šie grozījumi nevar ietekmēt jau saņemto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punkta grozījumi tiek atsaukti saskaņā ar  4. septembra Lauksaimniecības Konsultatīvās padomes sēdē nolemto, ņemot vērā pretrunīgos lauksaimnieku organizāciju viedokļus par piedāvāto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Ja platība, kuru saskaņā ar šo noteikumu </w:t>
            </w:r>
            <w:r w:rsidR="00000000" w:rsidRPr="00000000" w:rsidDel="00000000">
              <w:rPr>
                <w:rtl w:val="0"/>
              </w:rPr>
              <w:t xml:space="preserve">319.</w:t>
            </w:r>
            <w:r w:rsidR="00000000" w:rsidRPr="00000000" w:rsidDel="00000000">
              <w:rPr>
                <w:rtl w:val="0"/>
              </w:rPr>
              <w:t xml:space="preserve"> punktu</w:t>
            </w:r>
            <w:r w:rsidR="00000000" w:rsidRPr="00000000" w:rsidDel="00000000">
              <w:rPr>
                <w:rtl w:val="0"/>
              </w:rPr>
              <w:t xml:space="preserve"> izmanto ekoshēmas atbalsta aprēķinam par videi un klimatam labvēlīgu lauksaimniecības praksi vai par agroekoloģijas praksi bioloģiskās saimniecībās, atšķiras no platības, kas izmantojama attiecīgās ekoshēmas atbalsta aprēķināšanai pēc šo noteikumu  </w:t>
            </w:r>
            <w:r w:rsidR="00000000" w:rsidRPr="00000000" w:rsidDel="00000000">
              <w:rPr>
                <w:rtl w:val="0"/>
              </w:rPr>
              <w:t xml:space="preserve">320.</w:t>
            </w:r>
            <w:r w:rsidR="00000000" w:rsidRPr="00000000" w:rsidDel="00000000">
              <w:rPr>
                <w:rtl w:val="0"/>
              </w:rPr>
              <w:t xml:space="preserve"> un </w:t>
            </w:r>
            <w:r w:rsidR="00000000" w:rsidRPr="00000000" w:rsidDel="00000000">
              <w:rPr>
                <w:rtl w:val="0"/>
              </w:rPr>
              <w:t xml:space="preserve">321.</w:t>
            </w:r>
            <w:r w:rsidR="00000000" w:rsidRPr="00000000" w:rsidDel="00000000">
              <w:rPr>
                <w:rtl w:val="0"/>
              </w:rPr>
              <w:t xml:space="preserve"> punkta</w:t>
            </w:r>
            <w:r w:rsidR="00000000" w:rsidRPr="00000000" w:rsidDel="00000000">
              <w:rPr>
                <w:rtl w:val="0"/>
              </w:rPr>
              <w:t xml:space="preserve"> prasību piemērošanas, attiecīgās ekoshēmas atbalstu aprēķina, pamatojoties uz šo pēdējo platību,  kas samazināta par konstatēto pārsniegumu reizinātu ar koeficientu viens, ja konstatētais pārsniegums lielāks nekā trīs procenti vai divi hektāri.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328.1. samazina par procentuālo daļu, ko nosaka, neidentificēto dzīvnieku skaitu dalot ar attiecīgajai intervencei noteikto dzīvnieku skaitu kārtējā gadā, ja tā nepārsniedz 20 procentu;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Noteikumu 328.1. un 328.2 apakšpunktā veiktās izmaiņas un to nepieciešamību, ņemot vērā, ka pašreiz skaidrojums nav ietverts. Turklāt vēršam uzmanību, ka nav pilnīgi skaidrs, kas saprotams normās ar vietniekvārdu "tā", attiecīgi lūdzam precizēt normu, tiesiskās skaidrības labad aizstājot vietniekvārdu ar attiecīgiem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328.1. samazina par procentuālo daļu, ko nosaka, neidentificēto dzīvnieku skaitu dalot ar attiecīgajai intervencei noteikto dzīvnieku skaitu kārtējā gadā, ja šī daļa nepārsniedz 20 procentu;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Šo noteikumu 21., 144., 149., 178. punkta, 133.1. un 167.1.apakšpunkta un 14. pielikuma grozījumi stājas spēkā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projekta 22. punkta nepieciešamību, kā arī pamatot, kādēļ atliekoša spēkā stāšanās paredzēta tieši konkrētajām projekta vienībām, kā arī kādēļ paredzēts konkrētais datums. Turklāt, ņemot vērā, ka nākotnē ir iespējami arī citi grozījumi attiecīgajās Noteikumu vienībās un attiecīgi šāds noslēguma jautājums var radīt neskaidrības nākotnē, aicinām atbilstoši juridiskās tehnikas prasībām normu izteikt nevis kā Noteikumu noslēguma jautājumu, bet gan kā projekta atsevišķu punktu, paredzot, ka attiecīgi projekta punkti stājas spēkā attiecīgā datumā, kā arī veicot nepieciešamās izmaiņas projekta vienību numerācijā (proti, grozījumus Noteikumus izsakot kā 1. punkta apakšpunktus). Attiecīgi lūdzam precizēt projektu,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iekļauts 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 1.5., 1.7., 1.8., 1.9., 1.10. un 1.27. apakšpunkts stājas spēkā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noteikto termiņu 2023. gadā pagarināt līdz 20.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23. un 24. punktā ietvertos noslēguma jautājumus izteikt kā tiesību normas "kas ko dara" formā, lai ir nepārprotami skaidrs, kam ir kādas tiesības vai pienākumi, nevis kā uzdevumus (salīdzinājumam sk., piemēram, Noteikumu 390.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2023. gadā šo noteikumu </w:t>
            </w:r>
            <w:r w:rsidR="00000000" w:rsidRPr="00000000" w:rsidDel="00000000">
              <w:rPr>
                <w:rtl w:val="0"/>
              </w:rPr>
              <w:t xml:space="preserve">53. </w:t>
            </w:r>
            <w:r w:rsidR="00000000" w:rsidRPr="00000000" w:rsidDel="00000000">
              <w:rPr>
                <w:rtl w:val="0"/>
              </w:rPr>
              <w:t xml:space="preserve">punktā</w:t>
            </w:r>
            <w:r w:rsidR="00000000" w:rsidRPr="00000000" w:rsidDel="00000000">
              <w:rPr>
                <w:rtl w:val="0"/>
              </w:rPr>
              <w:t xml:space="preserve"> minēto informāciju Lauku atbalsta dienests aprēķina un publicē oficiālajā izdevumā "Latvijas Vēstnesis" līdz 2023. gada 20. oktobrim.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pielikumā ainavas elementu saraksts papildināts ar atsevišķi augošiem kokiem, zem kuru vainaga atrodas neproduktīva platība, kā arī tiek noteiktas lielākas platības, piemērojot koeficientus aizsargājamiem dižkokiem, aizsargājamām alejām.  Anotācijā ir norādīts, ka koeficienti ir paaugstināti saskaņā ar Dabas aizsardzības pārvaldes rekomendācijām. Tā kā Dabas aizsardzības pārvaldes priekšlikumā piedāvāti atšķirīgi svēruma un pārrēķina koeficienti, lūdzam skaidri norādīt, ka koeficienti ir noteikti atbilstoši panāktajai vienošanās, Eiropas Komisijas apstiprinātajiem KLP stratēģiskā plāna 2023. – 2027. gadam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atbalsta pretendents gadījumos, ja faktiskā platība, ko aizņem dižkoks pārsniedz 628 m</w:t>
            </w:r>
            <w:r w:rsidR="00000000" w:rsidRPr="00000000" w:rsidDel="00000000">
              <w:rPr>
                <w:vertAlign w:val="superscript"/>
                <w:rtl w:val="0"/>
              </w:rPr>
              <w:t xml:space="preserve">2</w:t>
            </w:r>
            <w:r w:rsidR="00000000" w:rsidRPr="00000000" w:rsidDel="00000000">
              <w:rPr>
                <w:rtl w:val="0"/>
              </w:rPr>
              <w:t xml:space="preserve">, var deklarēt faktisko platību kā neproduktīvo elementu izvēloties, piemēram, koku, krūmu puduri vai biodaudzveidības salu, līdz ar to nodrošinot atbilstošu ieguvumu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neproduktīvais elements “atsevišķi augoši koki ar neražojošu platību zem koka vainaga (uz vienu koku)” ar attiecināmo platību 300 m</w:t>
            </w:r>
            <w:r w:rsidR="00000000" w:rsidRPr="00000000" w:rsidDel="00000000">
              <w:rPr>
                <w:vertAlign w:val="superscript"/>
                <w:rtl w:val="0"/>
              </w:rPr>
              <w:t xml:space="preserve">2</w:t>
            </w:r>
            <w:r w:rsidR="00000000" w:rsidRPr="00000000" w:rsidDel="00000000">
              <w:rPr>
                <w:rtl w:val="0"/>
              </w:rPr>
              <w:t xml:space="preserve"> tiek izslēgti no grozījumiem, ņemot vērā, ka ir konstatēts, ka šīs platības administrēšana radīs nesamērīgu slogu. Arī šajā gadījumā, ja neražojošā platība ir lielāka, tad var deklarēt faktisko platību, piemēram,  kā koku, krūmu puduris vai biodaudzveidības sala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Svēruma un pārrēķina koeficienti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"nacionālā likumdošana" (attiecīgajā locījumā) aizstāt ar vārdiem „normatīvo aktu prasības” (attiecīgajā locījumā), jo likumdošana ir normatīvo aktu radīšanas process, nevis pašas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ietekmi uz atbalsta saņēmējiem vai pretendentiem, tostarp skaidrojot, vai paredzētajiem grozījumiem pašiem par sevi (nevis Eiropas Savienības tiešo maksājumu piešķiršanai un administrēšanai kā tāda) ir labvēlīga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anotācijas 5.4. sadaļu, informāciju par katras regulas vienību ieviešanu projektā izdalot atsevišķā tabulas daļā (proti, atsevišķi norādot informāciju par Regulas 2021/2116 ieviešanu un atsevišķi norādot informāciju par Regulas 2022/126 ieviešanu). Alternatīvi aicinām tabulā precizēt, kādas regulas kāda vienība ir ieviesta projekta 1.12. apakšpunktā, jo no norādes “Regulas 2022/126 48. panta 1. punktu 59. panta 1. punkta d) apakšpunkts” nav pilnībā skaidrs, kuras regulas kura vienība ir domāta.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jaunajām atbalsta shēmām uz atbalstu bioloģiskās daudzveidības uzturēšanai zālājos (turpmāk – BDUZ) pieteikumi plānotajā apjomā nav saņemti, tad saskatām risku, ka atbalsta sistēma neveicina pretendentu interesi pieteikties atbalsta maksājumam, nodrošināt labā kvalitātē BDUZ. Lūdzam Zemkopības ministriju pēc šī gada pieteikumu rezultātu analīzes rast iespēju pārskatīt atbalsta summas un to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darbu un izmaksu nesamērību, kas rodas, ja ilggadīgos zālājus var nopļaut un pēc mulčēšanas atstāt uz lauka, tad bioloģiski vērtīgo zālāju apsaimniekošanā zālājs ir ne tikai jāpļauj, bet arī jānovāc no lauka. Šāda nelīdzsvarota pieeja apdraud gan esošo, gan nākotnes (piemēram, Dabas atjaunošanas likums) Eiropas Savienības dabas likumdošanas prasību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turpinās darbu pie bioloģiski vērtīgo zālāju nosacījumu izvērtēšanas, lai nodrošinātu līdzsvarotu pieeju dažādām zālāju klasēm un izmantošanas veidiem, ņemot vērā veicamos darbus un izmaksas, izvērtējot jaunā perioda datus pēc pirmā jauno nosacījumu piemērošanas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Aramzemē sēts zālājs, tīrsējā sēti tauriņzieži un ilggadīgais zālājs ir atbalsttiesīgi tiešo maksājumu saņemšanai, ja tie ir noganīti un nepietiekami noganītā platība appļauta, vai nopļauti līdz kārtējā gada 15. augustam, izņemot: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328.2. samazina par divkāršotu procentuālo daļu, ko nosaka, neidentificēto dzīvnieku skaitu dalot ar attiecīgajai intervencei noteikto dzīvnieku skaitu kārtējā gadā, ja samazina par procentuālo daļu, ko nosaka, neidentificēto dzīvnieku skaitu dalot ar attiecīgajai intervencei noteikto dzīvnieku skaitu kārtējā gadā, ja šī daļa pārsniedz 20 procentu, bet nepārsniedz 50 procentu;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328.2. apakšpunktā uz atkārtoto saskaņošanu, šķiet, dubultā ietverta teikuma daļa ("samazina par procentuālo daļu, ko nosaka, neidentificēto dzīvnieku skaitu dalot ar attiecīgajai intervencei noteikto dzīvnieku skaitu kārtējā gadā"), attiecīgi veidojot neloģisku teikumu. Attiecīgi aicinām svītrot liekos vārdus vai citādi atbilstoši precizēt normu, lai tā būtu 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328.2. samazina par divkāršotu procentuālo daļu, ko nosaka, neidentificēto dzīvnieku skaitu dalot ar attiecīgajai intervencei noteikto dzīvnieku skaitu kārtējā gadā, ja šī daļa pārsniedz 20 procentu, bet nepārsniedz 50 procentu;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371.3.</w:t>
            </w:r>
            <w:r w:rsidR="00000000" w:rsidRPr="00000000" w:rsidDel="00000000">
              <w:rPr>
                <w:vertAlign w:val="superscript"/>
                <w:rtl w:val="0"/>
              </w:rPr>
              <w:t xml:space="preserve">1</w:t>
            </w:r>
            <w:r w:rsidR="00000000" w:rsidRPr="00000000" w:rsidDel="00000000">
              <w:rPr>
                <w:rtl w:val="0"/>
              </w:rPr>
              <w:t xml:space="preserve"> Ja pēc šo noteikumu </w:t>
            </w:r>
            <w:r w:rsidR="00000000" w:rsidRPr="00000000" w:rsidDel="00000000">
              <w:rPr>
                <w:rtl w:val="0"/>
              </w:rPr>
              <w:t xml:space="preserve">371.3. </w:t>
            </w:r>
            <w:r w:rsidR="00000000" w:rsidRPr="00000000" w:rsidDel="00000000">
              <w:rPr>
                <w:rtl w:val="0"/>
              </w:rPr>
              <w:t xml:space="preserve">apakšpunktā</w:t>
            </w:r>
            <w:r w:rsidR="00000000" w:rsidRPr="00000000" w:rsidDel="00000000">
              <w:rPr>
                <w:rtl w:val="0"/>
              </w:rPr>
              <w:t xml:space="preserve"> minētās pārdalīšanas saistītā ienākumu atbalsta intervences vienības minimālā summa netiek sasniegta, nepieciešamo daļu no finansējuma apmēra, kas veidojas no vienības plānotās summas pārsnieguma, pārdala tām saistītā ienākumu atbalsta intervencēm, kuru vienības minimālā summa netiek sasniegta. Pārdalīto atbalstu piešķir proporcionāli intervences atbalsta apmēram, nepārsniedzot vienības minimālo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juridiskās tehnikas prasībām jaunos Noteikumu 371. punkta apakšpunktus sākt ar mazo sākuma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punkta grozījumi tiek atsaukti saskaņā ar  4. septembra Lauksaimniecības Konsultatīvās padomes sēdē nolemto, ņemot vērā pretrunīgos lauksaimnieku organizāciju viedokļus par piedāvāto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23-TA-1927</w:t>
    </w:r>
    <w:r>
      <w:br/>
    </w:r>
    <w:r w:rsidR="00000000" w:rsidRPr="00000000" w:rsidDel="00000000">
      <w:rPr>
        <w:rtl w:val="0"/>
      </w:rPr>
      <w:t xml:space="preserve">07.09.2023. 16.48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23-TA-1927</w:t>
    </w:r>
    <w:r>
      <w:br/>
    </w:r>
    <w:r w:rsidR="00000000" w:rsidRPr="00000000" w:rsidDel="00000000">
      <w:rPr>
        <w:rtl w:val="0"/>
      </w:rPr>
      <w:t xml:space="preserve">07.09.2023. 16.48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Izziņa_23-TA-1927.docx</dc:title>
</cp:coreProperties>
</file>

<file path=docProps/custom.xml><?xml version="1.0" encoding="utf-8"?>
<Properties xmlns="http://schemas.openxmlformats.org/officeDocument/2006/custom-properties" xmlns:vt="http://schemas.openxmlformats.org/officeDocument/2006/docPropsVTypes"/>
</file>