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23-TA-1110: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4.3.6.4. pasākuma „Atbalsta instrumentu izstrāde un ieviešana ģimenes funkcionalitātes stiprināšanai” pirmās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iepirkuma līgumu izmaksas šo noteikumu 14.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iepirkumu līgumu izmaksas būtu attiecināmas noteikumu projekta 14.6.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14.6. apakšpunktā minētās atbalstāmās darbības “projekta vadība un tā īstenošanas nodrošināšana” īstenošanai paredzētas iepirkuma līguma izmaksas finansējuma saņēmēja projekta vadības un īstenošanas personāla (turpmāk – personāls) izmaksu nodrošināšanai, piemēram, darba vietas aprīkojuma iegādei, veselības apdrošināšanai u.tml. Tāpat iepirkuma līguma izmaksas varētu būt arī gadījumā, ja personālu piesaista uz iepirkumu līguma pamata, piemēram, gadījumā, ja to nav iespējams piesaistīt, nodibinot civildienesta vai darba tiesiskās attiecības un paredzot atlīdzības izmaksas saskaņā ar noteikumu projekta 16.1.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ir ietverts anotācijas 1.3. apakšsdaļas “Risinājuma apraksts” atkāpē par 4.3.6.4. pasākuma ietvaros paredzētajām tiešajām attiecināmajām un netiešajām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16.2.1. iepirkuma līgumu izmaksas šo noteikumu 14. 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maksājuma pieprasījumu sagatavošanas nolūkā saskaņā ar normatīvajiem aktiem, kas nosaka Eiropas Savienības fondu projektu pārbaužu veikšanas kārtību 2021.—2027. gada plānošanas periodā, veic pēcpārbaudi pakalpojuma sniedzēja veiktajai šo noteikumu 3. punktā minēto mērķa grupas personu atbilstības pārbaudei, apstrādājot pakalpojuma sniedzēja iesniegtos atbilstības pārbaudei nepieciešamos šo noteikumu 21.4. apakšpunktā un 24. un 25. punktā minētos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tiks uzkrāti dati atbilstoši Eiropas Parlamenta un Padomes Regulas (ES) 2021/1057 (2021. gada 24. jūnijs), ar ko izveido Eiropas Sociālo fondu Plus (ESF+) un atceļ Regulu (ES) Nr. 1296/2013 I un II pielikumam un nepieciešamības gadījumā papildināt noteikumu projektu ar  nosacījumu, ka  finansējuma saņēmējam ir pienākums uzkrāt un uzskaitīt datus par mērķa grupu saskaņā ar minētajiem regulas pielikumiem, kā arī atbilstošu skaidrojumu lūdzam iekļaut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mērķis ir vērsts uz atbalsta instrumentu izstrādi un ieviešanu vardarbības novēršanai un mazināšanai, tostarp īstenot izmēģinājuprojektus minēto atbalsta instrumentu aprobācijai. Izmēģinājumprojektos plānots iesaistīt nelielu mērķa grupas personu skaitu (neliela izlases kopa, kas tiks noteikta pakalpojumu aprakstu izstrādes laikā), kas nepieciešams attiecīgā atbalsta pakalpojuma aprobācijai.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pasākumā nav plānota ilgstoša atbalsta pasākumu īstenošana ar plašu dalībnieku skaitu, tāpēc nav izvirzīta prasība uzkrāt informāciju par tūlītējiem/ilgtermiņa kopējiem rādītājiem atbilstoši Eiropas Parlamenta un Padomes Regulas (ES) 2021/1057 (2021. gada 24. jūnijs), ar ko izveido Eiropas Sociālo fondu Plus (ESF+) un atceļ Regulu (ES) Nr. 1296/2013 I un II pielikumam, kā arī attiecīgi noteikumu projektā nav iekļauti nosacījumi par dalībnieku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veikt personu atbilstības mērķa grupai pārbaudi pirms iesaistes izmēģinājumprojektā (t.sk. datu pēcpārbaudi no finansējuma saņēmēju puses), lai gūtu pārliecību par veikto izmaksu atbilstību pirms šo izmaksu iekļaušanas maksājumu pieprasījumā.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 maksājuma pieprasījumu sagatavošanas nolūkā saskaņā ar normatīvajiem aktiem, kas nosaka Eiropas Savienības fondu projektu pārbaužu veikšanas kārtību 2021.—2027. gada plānošanas periodā, veic pēcpārbaudi pakalpojuma sniedzēja veiktajai šo noteikumu 3. punktā minēto mērķa grupas personu atbilstības pārbaudei, apstrādājot pakalpojuma sniedzēja iesniegtos atbilstības pārbaudei nepieciešamos šo noteikumu 21.4. apakšpunktā un 24. un 25. punktā minētos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anotācijā uz izvērtējumu “Vienkāršoto izmaksu piemērošanas iespējas 2021.-2027. gada ES fondu plānošanas periodā”, vēršam uzmanību, ka tas satur izvērtētāju kā ekspertu viedokli, bet nav pietiekams pamatojums vienkāršoto izmaksu nepiemērošanai, tāpēc lūdzam Labklājības ministriju kā atbildīgo iestādi stiprināt argumentāciju plašākas vienkāršoto izmaksu nepiemērošanas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4.3.6.4. pasākuma atbalstāmo darbību ietvaros plānoti dažāda veida un satura pasākumi (izvērtējumi un sabiedriskās domas pētījumi, atbalsta pakalpojumi un izmēģinājumprojekti, izglītošanas un informēšanas pasākumi sabiedrībai un mērķa grupām u.c.), kas saturiski un tvēruma ziņā būs ļoti atšķirīgi (to izmaksas nav savstarpēji salīdzināmas) un kuru izmaksas kļūs zināmas tikai to izstrādes vai ieviešanas laikā, tāpēc tiem nav iespējams piemērot vienkāršotās izmaksas, t.sk. nav iespējams definēt vienu vienību un izmaksas vienai vienībai. Projekta īstenošanas gaitā, uzkrājoties objektīvai faktisko izmaksu informācijai, tiks atkārtoti izvērtētas vienkāršoto izmaksu piemērošanas iespējas un, ja būs nepieciešams un iespējams, tiks izstrādāta attiecīga vienkāršoto izmaksu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rezultātus/rādītājus, papildus Eiropas Savienības kohēzijas politikas programmā 2021.-2027.gadam noteiktajiem un nacionāliem rādītājiem.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2.2.1. apakšsadaļa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 datu subjektiem nav saistoša, lūdzam noteikumu projektā ietvert datu glabāšanas termiņus.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jebkuram tiesību normu piemērotājam (neatkarīgi no tā vai tas ir indivīds (datu subjekts) vai iestāde), lai pareizi interpretētu attiecīgo tiesību normu, ir jāizmanto četras interpretācijas metodes, kas izriet no tiesību teorijas. Viena no tiesību normu interpretācijas metodēm ir teleoloģiskā (normas mērķa un jēgas noskaidrošana). Ministru kabineta iekārtas likuma 31. panta otrā daļa noteic, ka MK noteikumos norāda, uz kāda likuma normas pamata tie izdoti, un noteikumu projektam pievieno informāciju par izstrādātā projekta nepieciešamību un ietekmes izvērtējumu. Ietekmes novērtējums attiecībā uz datu aizsardzību norādāms anotācijā saskaņā ar MK 2021. gada 7. septembra noteikumu Nr. 617 “Tiesību akta projekta sākotnējās ietekmes izvērtēšanas kārtība” 9.24. apakšpunktu. Tādējādi datu subjektam, interpretējot tiesību normu, kas regulē datu apstrādes/aizsardzības jautājumu, lai nonāktu pie pareizā siloģisma, ir pienākums piemērot teleoloģisko tiesību normas interpretācijas metodi, kas savukārt nozīmē, ka jāiepazīstas ar anotācijā sniegto skaidrojumu par ietekmi uz datu aizsardzību. Tādēļ Datu valsts inspekcijas norāde, ka datu subjektam anotācija nav saistoša ir pretrunā tiesību teorijas pamatiem attiecībā uz tiesību normu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izstrādājot tiesību normas, ir aizliegts tās dublēt, pamatojoties uz MK 2009. gada 3. februāra noteikumu Nr.108 “Normatīvo aktu projektu sagatavošanas noteikumi” 3.2. apakšpunktu. Tādējādi pašā noteikumu projektā tiesību normas par datu glabāšanu nav ietvertas, bet skaidrojums sniegts anotācijas 8.1.13. apakšsadaļā, atsaucoties uz normatīvajiem aktiem, kuros attiecīgais jautājums jau ir noregulēts.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 apakšpunktā skaidrots, ka pakalpojumu sniedzēji iepriekš minēto datu subjektu personas datu apstrādi veiks uz TA projekta 21.4., 24. un 25. punkta pamata. Norādām, ka gadījumā, ja datu apstrāde izriet no normatīvajiem aktiem, datu apstrādes tiesiskajam pamatojumam jābūt noteiktam citā spēkā esošā nacionālajā vai ES normatīvajā aktā. Konkrētais noteikumu projekts nevar kalpot par pamatojumu datu apstrādei. Ievērojot minēto, lūdzam precizēt anotāciju, norādot konkrētu nacionālo vai ES normatīvo aktu un tā daļu, kas paredz šādu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normatīvajos aktos, kas nosaka kārtību, kādā veicama obligātā veselības pārbaude paredzēto veselības pārbaužu izmaksas finansējuma saņēmēja projekta vadības un īstenošanas personālam, ja tās nav iekļautas veselības apdrošināšanas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šādas izmaksas būs tikai izņēmuma gadījumos (piemēram, jauns darbinieks, kuram vēl nav apdrošināšanas, bet jāveic veselības pārbaude) un summas būs nelielas (~40-50 EUR/ pārbaude) un tās būs grūti pārbaudāmas (jāpārbauda ir vai nav  veselības apdrošināšana un ko tā sedz), ierosinām svītrot obligātās veselības pārbaužu/veselības pārbaužu izmaksas un tās segt no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vadlīniju Nr.1.2. "Vadlīnijas attiecināmo izmaksu noteikšanai Eiropas Savienības kohēzijas politikas programmas 2021.-2027.gada plānošanas periodā" 39. punktā noteikto, obligātās veselības pārbaudes nodrošināšanas izmaksas projektos valsts pārvaldes iestādēm tiek plānotas kā tiešās attiecināmās izmaksas, ja tās ir nepieciešamas projekta vadības un īstenošanas personālam, kas nodrošina projekta mērķu sasniegšanu, un tas ir atrunāts Ministru kabineta (turpmāk  – MK) noteikumos par SAM īstenošanu. Izvērtējot 4.3.6.4. pasākumā plānoto izmaksu saturu, šobrīd nav identificēts iemesls, kāpēc finansējuma saņēmējam obligātās veselības pārbaudes nav iespējams segt no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16.2.3. normatīvajos aktos, kas nosaka kārtību, kādā veicama obligātā veselības pārbaude paredzēto veselības pārbaužu izmaksas finansējuma saņēmēja projekta vadības un īstenošanas personālam, ja tās nav iekļautas veselības apdrošināšanas izmaksās.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transporta pakalpojumu iegādi (transportlīdzekļu noma un transportlīdzekļa pakalpojumu pirkšana) var plānot finansējuma saņēmēja projekta vadības un īstenošanas personālam šo noteikumu 14.6.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transporta pakalpojumu iegādes izmaksas nebūtu attiecināmas finansējuma saņēmēja projekta vadības un projekta īstenošanas personālam arī 14.1., 14.3. un 14.4. apakšpunktā minēto atbalstāmo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17.3. apakšpunkts precizēts, paredzot transporta pakalpojumu izmaksas 14.2., 14.3., 14.4. un 14.6. apakšpunktā minēto atbalstāmo darbību īstenošanai. Savukārt 14.1. apakšpunktā minētā atbalstāmās darbības īstenošanai nav identificēt nepieciešamība transporta pakalpojumu iegādei.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transporta pakalpojumu iegādi (transportlīdzekļu noma un transportlīdzekļa pakalpojumu pirkšana) var plānot finansējuma saņēmēja projekta vadības un īstenošanas personālam šo noteikumu 14.2., 14.3., 14.4. un 14.6.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15.2. apakšpunktā minētās netiešās attiecināmās izmaksas finansējuma saņēmējs plāno kā vienu izmaksu pozīciju septiņu procentu apmērā no projekta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18.punktā atsauci uz noteikumu attiecīgo punktu attiecībā uz projekta tiešajām attiecināmajām izmaksām un papildināt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punktu, kas ļauj piemērot 7% netiešo izmaksu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punkts ir precizēts. Anotācijas 5. sadaļas 1.tabulā sniegtas norādes par TA projekta atbilstību ES tiesību aktiem, tostarp Regulas 2021/1060 54. panta “a”. apakšpunktam attiecībā uz netiešo attiecināmo izmaksu likmes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15.2. apakšpunktā minētās netiešās attiecināmās izmaksas finansējuma saņēmējs plāno kā vienu izmaksu pozīciju septiņu procentu apmērā no šo noteikumu 15.1. apakšpunktā minētajām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14.2. un 14.3. apakšpunktā minēto atbalstāmo darbību īstenošanas un maksājuma pieprasījumu sagatavošanas nolūkā finansējuma saņēmēja piesaistīts pakalpojuma sniedzējs veic šo noteikumu 3.1. un 3.2. apakšpunktā minētās mērķa grupas personu atbilstības pārbaudi iesaistei šo noteikumu 21.2., 22.2.1., 22.2.4. un 22.2.5.3. apakšpunktā minētajā izmēģinājumprojektā, kā arī veic minēto personu identificēšanu un uzskaiti, norādot vārdu, uzvārdu, personas kodu un citu personas datus nesaturošu informāciju, un iesniedz finansējuma saņēmējam šo noteikumu 26.9. apakšpunktā minētās personu atbilstības pēcpārbaudes veikšanai nepieciešamos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24.punktā norādītās atsauces uz 3.1. un 3.2.apakšpunkta mērķa grupas personām nav precizējamas. Skaidrojam, ka 21.2. un 22.2.5.3.apakšpunkti ir attiecināmi uz 3.4.apakšpunkta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ka 3.1. un 3.2. apakšpunktā minētās mērķa grupas personas piedalās izmēģinājumprojektā, tad 21.2. un 22.2.5.3. apakšpunkts būtu attiecīgi papildināms.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21.2. apakšpunkts un 24. punkts ir precizēts. Skaidrojam, ka 22.2.5.3. apakšpunktā minētā izmēģinājumprojekta īstenošanas laikā plānots sniegt atbalstu TA projekta 3.4. apakšpunktā minētajiem speciālistiem attiecīgā gadījuma risināšanai. Izmēģinājumprojekta īstenotājs uzkrās statistisku informāciju par gadījumiem, kuru risināšanai atbalsta pakalpojumu sniegs starpdisciplinārās speciālistu komanda, neidentificējot gadījumos iesaistītās no vardarbības cietušās vai vardarbību veikušās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14.2. un 14.3. apakšpunktā minēto atbalstāmo darbību īstenošanas un maksājuma pieprasījumu sagatavošanas nolūkā finansējuma saņēmēja piesaistīts pakalpojuma sniedzējs veic šo noteikumu 3.1. un 3.2. apakšpunktā minētās mērķa grupas personu atbilstības pārbaudi iesaistei šo noteikumu 21.2., 22.2.1. un 22.2.4. apakšpunktā minētajā izmēģinājumprojektā, kā arī veic minēto personu identificēšanu un uzskaiti, norādot vārdu, uzvārdu, personas kodu un citu personas datus nesaturošu informāciju, un iesniedz finansējuma saņēmējam šo noteikumu 26.9. apakšpunktā minētās personu atbilstības pēcpārbaudes veikšanai nepieciešamos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“Kārtība, kādā veic gadskārtējā valsts budžeta likumā noteiktās apropriācijas izmaiņas” 24.2.apakšpunktā noteikts, ka Ministru kabinets pieņem lēmumu par konkrētā plānotā projekta izdevumu priekšfinansēšanu noteiktā apjomā un izdevumu pozīcijām atbilstoši projektā izvirzītajam mērķim, pamatojoties uz iesniegto argumentāciju un </w:t>
            </w:r>
            <w:r w:rsidR="00000000" w:rsidRPr="00000000" w:rsidDel="00000000">
              <w:rPr>
                <w:u w:val="single"/>
                <w:rtl w:val="0"/>
              </w:rPr>
              <w:t xml:space="preserve">risku analīzi</w:t>
            </w:r>
            <w:r w:rsidR="00000000" w:rsidRPr="00000000" w:rsidDel="00000000">
              <w:rPr>
                <w:rtl w:val="0"/>
              </w:rPr>
              <w:t xml:space="preserve">. Līdz ar to lūdzam anotācijas 1.3.apakšsadaļa punktā “Risinājuma apraksts” sniegt novērtējumu, kāds ir risks (zems, vidējs, augsts), ka pirms projekta apstiprināšanas veiktās izmaksas var netikt atzītas par attiecināmām.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(LM) ir centrālā valsts pārvaldes iestāde ar pieredzi un veiktspēju ārvalstu finanšu palīdzības, t.sk. ES politikas instrumentu un pārējās ārvalstu finanšu palīdzības programmu, projektu īstenošanā, t.sk. izmaksu plānošanā. Vienlaikus TA projektā noteikti precīzi un detāli 4.3.6.4. pasākuma atbalstāmo darbību īstenošanas un izmaksu attiecināšanas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veicot pamatdarbības uzdevumus un kā finansējuma saņēmējs īstenojot projektus, ievēro kā ārējos, tā iekšējos normatīvajos aktos noteikto, nodrošinot labas finanšu pārvaldības principus neatkarīgi no izdevumu finansēšanas avota.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izveidota iekšējās kontroles sistēma (iekšējie normatīvie akti) (turpmāk – IKS) paredz vairāku līmeņu kontroli dažādās izmaksu uzraudzības procesa stadijās (piemēram, iepirkumu dokumentācijas sagatavošanā, līgumu slēgšanā, iepirkumu izpildes dokumentācijas saskaņošanā, izmaksu aprēķināšanā, veikšanā un uzskaitē). Bez tam IKS ietver arī nosacījumus projektu īstenošanai pirms projekta iesnieguma sagatavošanas, tostarp paredz projekta vadības grupas izveidi un projekta atbildīgās amatpersonas noteikšanu. Projekta vadības grupas locekļi (piemēram, projekta vadītājs, koordinators, finansists, grāmatvedis, iepirkuma speciālists) nodrošina projekta izmaksu atbilstību izmaksu attiecināšanas nosacījumiem, tostarp projekta īstenošanai noslēgto iepirkuma līgumu kontroli, ieskaitot nodevumu saskaņošanu ar attiecīgo politikas departamentu (ja nepieciešams). Savukārt projekta atbildīgā amatpersona apstiprina iepirkumu līgumu izpildes dokumentus (piemēram, pieņemšanas un nodošanas aktus). Balstoties uz minēto, secināts, ka ir zems risks, ka pirms 4.3.6.4. pasākuma projekta apstiprināšanas veiktās izmaksas var netikt atzītas par attiecināmām. Priekšfinansējuma plānotā 4.3.6.4. pasākuma projekta īstenošanai nepiešķiršanas gadījumā netiks savlaicīgi (2024. gada I ceturksnī) uzsākta pasākuma īstenošanas laika grafikā plānoto atbalstāmo darbību īstenošana, attiecīgi savlaicīgi netiks investēts projektā plānotais finansējums. Tādējādi tiks apdraudēta LM kā atbildīgajai iestādei ar informatīvā ziņojuma par Finanšu ministrijas pārziņā esošo Eiropas Savienības fondu un ārvalstu finanšu palīdzības aktualitātēm līdz 2023. gada 1. martam (pusgada ziņojums) (pieņemts MK 2023. gada 25. aprīli) MK protokollēmumu apstiprinātā n+3 principa izpilde LM pārziņā esošiem specifisko atbalsta mērķu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“Risinājuma apraksts” un 3.sadaļas 6.punkta 5.rindkopā pirms cipariem un vārda “842 353 </w:t>
            </w:r>
            <w:r w:rsidR="00000000" w:rsidRPr="00000000" w:rsidDel="00000000">
              <w:rPr>
                <w:i w:val="1"/>
                <w:rtl w:val="0"/>
              </w:rPr>
              <w:t xml:space="preserve">euro</w:t>
            </w:r>
            <w:r w:rsidR="00000000" w:rsidRPr="00000000" w:rsidDel="00000000">
              <w:rPr>
                <w:rtl w:val="0"/>
              </w:rPr>
              <w:t xml:space="preserve">” aizstāt vārdu “indikatīvi” ar vārdiem “ne vairāk kā” atbilstoši Ministru kabineta sēdes protokollēmuma projekta 3.punktā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punkta 5. rindkopa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sadaļas "Risinājuma apraksts" 14.lapas rindkopas [Atbilstoši 4.3.6.4. pasākumā plānoto atbalstāmo darbību īstenošanas indikatīvajam laika grafikam ne vēlāk kā 2024. gada 1. ceturksnī jāuzsāk iepirkuma procedūras un jāuzsāk pasākumu īstenošana, t.sk....] a) apakšpunktā nebūtu precizējama atsauce no 20.punkta uz 20.2.apakšpunktu un f). apakšpunktā nebūtu precizējama atsauce no 23.punkta uz 23.2.apakšpunktu.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ja tiks projekta personāls piesaistīts uz uzņēmuma līguma pamata un brīdī, kad tiks izstrādāta un apstiprināta vienotās likmes metodika, tad, lai nodrošinātu vienotu pieeju izmaksu attiecināšanā par identiskām darbībām /izmaksām uzņēmuma līguma izmaksas projekta vadībai nedrīkstēs segt pēc faktiskām izmaksām, jo vienotās likmes gadījumā, visas projekta vadības un īstenošanas izmaksas būs jāsedz ar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23-TA-1110</w:t>
    </w:r>
    <w:r>
      <w:br/>
    </w:r>
    <w:r w:rsidR="00000000" w:rsidRPr="00000000" w:rsidDel="00000000">
      <w:rPr>
        <w:rtl w:val="0"/>
      </w:rPr>
      <w:t xml:space="preserve">05.02.2024. 16.35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23-TA-1110</w:t>
    </w:r>
    <w:r>
      <w:br/>
    </w:r>
    <w:r w:rsidR="00000000" w:rsidRPr="00000000" w:rsidDel="00000000">
      <w:rPr>
        <w:rtl w:val="0"/>
      </w:rPr>
      <w:t xml:space="preserve">05.02.2024. 16.35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Izziņa_23-TA-1110.docx</dc:title>
</cp:coreProperties>
</file>

<file path=docProps/custom.xml><?xml version="1.0" encoding="utf-8"?>
<Properties xmlns="http://schemas.openxmlformats.org/officeDocument/2006/custom-properties" xmlns:vt="http://schemas.openxmlformats.org/officeDocument/2006/docPropsVTypes"/>
</file>