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26-TA-479: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29. marta noteikumos Nr. 203 "Noteikumi par traktortehnikas un tās piekabju valsts tehnisko apskati un tehnisko kontroli uz ceļiem"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14.05.2026. 16:11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1. pielikuma 4., 20., 21., 22., 23., un 109. punkts stājas spēkā 2026.gada 1.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atzinumā lūdzām izvērtēt to projekta normu spēkā stāšanos vispārējā kārtībā, kuras neattiecas uz lauksaimniecības mašīntraktora valsts tehniskās apskates kārtību. Vēršam uzmanību, ka veiktie precizējumi normās, kas attiecas uz projekta jaunā redakcijā izteiktajiem noteikumu Nr. 203 1. un 2.pielikumu nerisina minēto problēmu, jo noteikumu Nr. 203 1.un 2. pielikumi spēkā esošajā redakcijā jau satur projekta 55. un 56. punktā minētās noteikumu Nr. 203 1. un 2. pielikuma vienības. Aicinām precizēt projektu, paredzot, ka grozījumi attiecībā uz prasībām par lauksaimniecības mašīntraktoru numura zīmēm, ātruma ierobežotājierīcēm un to riepu ātruma indeksiem attiecīgajās noteikumu Nr. 203 vienībās stājas spēkā noteiktā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paredzēts spēkā stāšanās termiņš – 2026. gada 1. jūlijs, jo tas ir saistīts ar 2025. gada 22. novembra likuma “Grozījumi Ceļu satiksmes likumā” 20. pantu, ar kuru Ceļu satiksmes likuma pārejas noteikumi papildināti ar 74. punktu, nosakot Ministru kabinetam pienākumu līdz 2026. gada 1. jūlijam izdot noteikumus, lai noteiktu lauksaimniecības mašīntraktora valsts tehniskās apskates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minētajam termiņam Valsts tehniskās uzraudzības aģentūra turpina piemērot līdzšinējo tehniskās apskates kārtību. Vienlaikus pārejas periods ir nepieciešams, lai nodrošinātu sagatavošanos precizēto regulējuma ieviešanai, tai skaitā pielāgotu tehniskās apskates procedūras, aktualizētu iekšējos normatīvos dokumentus un organizatoriskos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sagatavošanās laiks nepieciešams arī saistībā ar izmaiņām, kas skar ne tikai lauksaimniecības mašīntraktorus, bet kopumā traktortehniku un tās piekabes, tostarp attiecībā uz gaismas ierīču prasību pārbaudi, bremžu kontroles pilnveidošanu, gumijas kāpurķēžu un to piedziņas mehānismu vērtēšanu, kā arī trokšņa līmeņa mērīšanas kārtības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noteiktais spēkā stāšanās termiņš nodrošina savlaicīgu normatīvā regulējuma ieviešanu un vienlaikus dod iespēju nodrošināt praktisku sagatavotību tā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1. pielikuma 22. punktu. Vēršam uzmanību, ka šajā projektā paredzētajam ātruma ierobežotājierīces pārbaudes termiņam (ne retāk kā reizi divos gados)  un Zemkopības ministrijas sagatavotajā projektā "Grozījumi Ministru kabineta 2002. gada 23. decembra noteikumu Nr. 548 "Prasības transportlīdzekļu aprīkošanai ar ātruma ierobežotājierīci un šīs ierīces lietošanas kārtība"" (26-TA-637) paredzētajam ātruma ierobežotājierīces pārbaudes termiņam (lauksaimniecības mašīntraktoram  - ne retāk kā reizi četros gados) jābūt saskaņotam.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1.pielikuma 20. punktu. Vēršam uzmanību, ka šā punktā lietotajiem terminiem jābūt saskaņotiem ar Ceļu satiksmes likuma 1.panta 21</w:t>
            </w:r>
            <w:r w:rsidR="00000000" w:rsidRPr="00000000" w:rsidDel="00000000">
              <w:rPr>
                <w:vertAlign w:val="superscript"/>
                <w:rtl w:val="0"/>
              </w:rPr>
              <w:t xml:space="preserve">1</w:t>
            </w:r>
            <w:r w:rsidR="00000000" w:rsidRPr="00000000" w:rsidDel="00000000">
              <w:rPr>
                <w:rtl w:val="0"/>
              </w:rPr>
              <w:t xml:space="preserve">. punktā lietotajiem terminiem ("lauksaimniecības mašīntraktors — pilnpiedziņas mehāniskais transportlīdzeklis, (..) kuram uzstādīta ātruma ierobežošanas ierīce, ja </w:t>
            </w:r>
            <w:r w:rsidR="00000000" w:rsidRPr="00000000" w:rsidDel="00000000">
              <w:rPr>
                <w:u w:val="single"/>
                <w:rtl w:val="0"/>
              </w:rPr>
              <w:t xml:space="preserve">ekspluatācijā maksimālais tehniski iespējamais ātrums</w:t>
            </w:r>
            <w:r w:rsidR="00000000" w:rsidRPr="00000000" w:rsidDel="00000000">
              <w:rPr>
                <w:rtl w:val="0"/>
              </w:rPr>
              <w:t xml:space="preserve"> pārsniedz 60 kilometrus stundā"). Šobrīd projekts paredz: "Lauksaimniecības mašīntraktors, ja tā </w:t>
            </w:r>
            <w:r w:rsidR="00000000" w:rsidRPr="00000000" w:rsidDel="00000000">
              <w:rPr>
                <w:u w:val="single"/>
                <w:rtl w:val="0"/>
              </w:rPr>
              <w:t xml:space="preserve">maksimālais braukšanas ātrums</w:t>
            </w:r>
            <w:r w:rsidR="00000000" w:rsidRPr="00000000" w:rsidDel="00000000">
              <w:rPr>
                <w:rtl w:val="0"/>
              </w:rPr>
              <w:t xml:space="preserve"> pārsniedz 60 km/h, ir aprīkots un marķēts ar ātruma ierobežotājierīci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20.04.2026. 09:14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un 2.4. apakšpunktā ietverto informāciju par administratīvā sloga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labot atsauci uz noteikumu projekta normu, norādot 50.</w:t>
            </w:r>
            <w:r w:rsidR="00000000" w:rsidRPr="00000000" w:rsidDel="00000000">
              <w:rPr>
                <w:vertAlign w:val="superscript"/>
                <w:rtl w:val="0"/>
              </w:rPr>
              <w:t xml:space="preserve">3.</w:t>
            </w:r>
            <w:r w:rsidR="00000000" w:rsidRPr="00000000" w:rsidDel="00000000">
              <w:rPr>
                <w:rtl w:val="0"/>
              </w:rPr>
              <w:t xml:space="preserve"> apakšpunktu, jo minētais apakšpunkts paredz iespēju noformēt vienas dienas atļauju, kas ir tieši saistīts ar administratīvā sloga rašanos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būtiski precizēt ailē “Aprēķinu skaidrojums” ietverto informāciju. Šobrīd tajā sniegta vispārīga informācija par personu rīcību (piemēram, tehniskās apskates izvēli), kas neizskaidro aprēķinā izmantotās vērtības un nesniedz pamatojumu konkrētajiem pieņēmumiem (laika patēriņš, subjektu skaits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sloga novērtēšanas metodikai skaidrojumā ir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laika patēriņš (piemēram, balstīts uz ekspertu vērtējumu, līdzīgu procesu analīzi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iegūts subjektu skaits (piemēram, statistikas dati, iestādes rīcībā esoša informācija, pieņēmumi, noteiktas datuanalīzes secinājumi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biežums (piemēram, viena reize gadā uz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izvēlēta stundas likme (atsauce uz CSP datiem un konkrēto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jebkādi citi būtiski pieņēmumi, kas ietekmē aprēķina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atbilstības prasību izmaiņas mērķa grupai saistībā ar 1.pielikuma grozījumiem. Monetāro novērtējumu nepieciešams veikt gan izmaksu palielinājuma, gan samazinājuma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noteikumu projekta 1. pielikumā ietverto grozījumu ietekmi uz mērķa grupu atbilstības prasību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tehniskās prasības nosaka normatīvie akti par transportlīdzekļu atbilstību pirms to laišanas Eiropas Savienības tirgū, kā arī Latvijas normatīvie akti par ceļu satiksmi. Šīs prasības ir saistošas transportlīdzekļu ražotājiem un nosaka transportlīdzekļu konstrukcijas, aprīkojuma un drošības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2022. gada 29. marta noteikumi Nr. 203 “Noteikumi par traktortehnikas un tās piekabju valsts tehnisko apskati un tehnisko kontroli uz ceļiem” nosaka kārtību, kādā tiek veikta transportlīdzekļu atbilstības pārbaude ekspluatācijas laikā. Minēto noteikumu mērķis ir pārliecināties, vai transportlīdzeklis atbilst ražotāja noteiktajām tehniskajām prasībām un vai tā tehniskais stāvoklis nerada apdraudējumu ceļu satiksmes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203 1. pielikumā ietvertās prasības paredz būtisko tehnisko prasību pārbaudi tehniskās apskates laikā. Ar noteikumu projektu veiktās izmaiņas galvenokārt precizē vērtēšanas kritērijus, novērš interpretācijas iespējas un papildina regulējumu ar praksē nepieciešamiem tehniskās kontroles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tehniskās apskates noteikumi pēc būtības nenosaka jaunas transportlīdzekļu tehniskās prasības, bet paredz jau spēkā esošo prasību pārbaudi. Līdz ar to noteikumu projekts neparedz stingrākas prasības nekā tās, kas izriet no transportlīdzekļu atbilstības regulējuma un ražotāja noteiktajām specifikācijām.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izmaksu ietekmi uz mērķa grupu, secināms ka izmaiņas, kas precizē pārbaudes kārtību (piemēram, trokšņa līmeņa mērīšanas vietas noteikšana vai lukturu marķējuma kritēriju konkretizēšana), nerada papildu izmaksas, jo tās neparedz jauna aprīkojuma iegādi vai transportlīdzekļu pārbūvi, bet tikai precizē tehniskās kontroles veikšanas kārtību. Savukārt izmaiņas, kas attiecas uz lauksaimniecības mašīntraktoriem (piemēram, prasība par divām valsts reģistrācijas numura zīmēm, ātruma ierobežotājierīci vai lauksaimniecības riepām), izriet no augstāka juridiska spēka normatīvā regulējuma – Ceļu satiksmes likuma grozījumiem, kas pieņemti 2025. gada 22. novembrī. Līdz ar to, šo prasību iespējamās izmaksas nav attiecināmas uz noteikumu projektu, bet gan uz likuma regulējumu, ar kuru konkrētās prasības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izmaksas var rasties tikai tad, ja transportlīdzeklis jau neatbilst spēkā esošajām prasībām (piemēram, bojātu vai neatbilstošu lukturu nomaiņas gadījumā). Šādas izmaksas uzskatāmas par transportlīdzekļa uzturēšanas un ekspluatācijas izmaksām, nevis par jaunā regulējuma radītām atbilstības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Zemkopības ministrija secina, ka noteikumu projekta 1. pielikumā ietvertie grozījumi būtiski nemaina atbilstības prasību izmaksas mērķa grupām un galvenokārt ir vērsti uz tehniskās apskates prasību precizēšanu un vienveidīgu piemērošanu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Vienas dienas atļauja piedalīties ceļu satiksmē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2022. gada 29. marta noteikumu Nr. 203 "Noteikumi par traktortehnikas un tās piekabju valsts tehnisko apskati un tehnisko kontroli uz ceļiem" (turpmāk – noteikumi Nr. 203) jauno V.</w:t>
            </w:r>
            <w:r w:rsidR="00000000" w:rsidRPr="00000000" w:rsidDel="00000000">
              <w:rPr>
                <w:vertAlign w:val="superscript"/>
                <w:rtl w:val="0"/>
              </w:rPr>
              <w:t xml:space="preserve">1</w:t>
            </w:r>
            <w:r w:rsidR="00000000" w:rsidRPr="00000000" w:rsidDel="00000000">
              <w:rPr>
                <w:rtl w:val="0"/>
              </w:rPr>
              <w:t xml:space="preserve"> nodaļu vai pamatot, kura likuma norma ļauj noteikt šādu regulējumu. Vēršam uzmanību, ka Ceļu satiksmes likuma 16.panta 2.</w:t>
            </w:r>
            <w:r w:rsidR="00000000" w:rsidRPr="00000000" w:rsidDel="00000000">
              <w:rPr>
                <w:vertAlign w:val="superscript"/>
                <w:rtl w:val="0"/>
              </w:rPr>
              <w:t xml:space="preserve">1</w:t>
            </w:r>
            <w:r w:rsidR="00000000" w:rsidRPr="00000000" w:rsidDel="00000000">
              <w:rPr>
                <w:rtl w:val="0"/>
              </w:rPr>
              <w:t xml:space="preserve"> daļa paredz, ka atļauju piedalīties ceļu satiksmē apliecina arī </w:t>
            </w:r>
            <w:r w:rsidR="00000000" w:rsidRPr="00000000" w:rsidDel="00000000">
              <w:rPr>
                <w:b w:val="1"/>
                <w:rtl w:val="0"/>
              </w:rPr>
              <w:t xml:space="preserve">transportlīdzekļu un to vadītāju valsts reģistrā (nevis informācijas sistēmā "Traktortehnikas un tās vadītāju valsts informatīvā sistēma")</w:t>
            </w:r>
            <w:r w:rsidR="00000000" w:rsidRPr="00000000" w:rsidDel="00000000">
              <w:rPr>
                <w:rtl w:val="0"/>
              </w:rPr>
              <w:t xml:space="preserve"> elektroniski noformēta vienas dienas atļauja piedalīties ceļu satiksmē, lai ar transportlīdzekli, kuram beidzies valsts tehniskās apskates derīguma termiņš, nokļūtu valsts tehniskās apskates veikšanas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normas par vienas dienas atļauju dalībai ceļu satiksmē traktortehnikai un tās piekabēm, jo Ceļu satiksmes likuma 16.panta 2.</w:t>
            </w:r>
            <w:r w:rsidR="00000000" w:rsidRPr="00000000" w:rsidDel="00000000">
              <w:rPr>
                <w:vertAlign w:val="superscript"/>
                <w:rtl w:val="0"/>
              </w:rPr>
              <w:t xml:space="preserve">1</w:t>
            </w:r>
            <w:r w:rsidR="00000000" w:rsidRPr="00000000" w:rsidDel="00000000">
              <w:rPr>
                <w:rtl w:val="0"/>
              </w:rPr>
              <w:t xml:space="preserve"> daļa neparedz, ka atļauju piedalīties ceļu satiksmē var apliecināt arī informācijas sistēmā "Traktortehnikas un tās vadītāju valsts informatīvā sistēma".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kā pamatojums projekta spēkā stāšanās datumam ir norādīts Ceļu satiksmes likuma pārejas noteikumu 74. punkts, kas cita starp paredz nosacījumu Ministru kabinetam līdz 2026. gada 1. jūlijam izdot noteikumus, lai noteiktu lauksaimniecības mašīntraktora valsts tehniskās apskates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to projekta normu spēkā stāšanos vispārējā kārtībā, kuras neattiecas uz lauksaimniecības mašīntraktora valsts tehniskās apskates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prasības par lauksaimniecības mašīntraktoru numura zīmēm, ātruma ierobežotājierīcēm un to riepu ātruma indeksiem stājās spēkā 2026.gada 1. 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kurā sniegta informācija par Ministru kabineta 2018. gada 17. aprīļa noteikumiem Nr. 225 "Valsts tehniskās uzraudzības aģentūras maksas pakalpojumu cenrādis", papildināt ar informāciju, ka saskaņā ar Likuma par budžetu un finanšu vadību Pārejas noteikumu 122.punktu minēto minētais cenrādis būs spēkā līdz tiks apstiprināts jauns cenrādis saskaņā ar Likuma par budžetu un finanšu vadību 5. panta divpadsmitajā daļā noteikto, bet ne ilgāk kā līdz 2027.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V</w:t>
            </w:r>
            <w:r w:rsidR="00000000" w:rsidRPr="00000000" w:rsidDel="00000000">
              <w:rPr>
                <w:vertAlign w:val="superscript"/>
                <w:rtl w:val="0"/>
              </w:rPr>
              <w:t xml:space="preserve">1</w:t>
            </w:r>
            <w:r w:rsidR="00000000" w:rsidRPr="00000000" w:rsidDel="00000000">
              <w:rPr>
                <w:rtl w:val="0"/>
              </w:rPr>
              <w:t xml:space="preserve"> nodaļa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anotācijā, kāpēc  noteikumu Nr. 203 V.</w:t>
            </w:r>
            <w:r w:rsidR="00000000" w:rsidRPr="00000000" w:rsidDel="00000000">
              <w:rPr>
                <w:vertAlign w:val="superscript"/>
                <w:rtl w:val="0"/>
              </w:rPr>
              <w:t xml:space="preserve">1</w:t>
            </w:r>
            <w:r w:rsidR="00000000" w:rsidRPr="00000000" w:rsidDel="00000000">
              <w:rPr>
                <w:rtl w:val="0"/>
              </w:rPr>
              <w:t xml:space="preserve"> nodaļa stāsies spēkā 2027.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203 V.</w:t>
            </w:r>
            <w:r w:rsidR="00000000" w:rsidRPr="00000000" w:rsidDel="00000000">
              <w:rPr>
                <w:vertAlign w:val="superscript"/>
                <w:rtl w:val="0"/>
              </w:rPr>
              <w:t xml:space="preserve">1</w:t>
            </w:r>
            <w:r w:rsidR="00000000" w:rsidRPr="00000000" w:rsidDel="00000000">
              <w:rPr>
                <w:rtl w:val="0"/>
              </w:rPr>
              <w:t xml:space="preserve"> nodaļa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26-TA-479</w:t>
    </w:r>
    <w:r>
      <w:br/>
    </w:r>
    <w:r w:rsidR="00000000" w:rsidRPr="00000000" w:rsidDel="00000000">
      <w:rPr>
        <w:rtl w:val="0"/>
      </w:rPr>
      <w:t xml:space="preserve">28.05.2026. 19.20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26-TA-479</w:t>
    </w:r>
    <w:r>
      <w:br/>
    </w:r>
    <w:r w:rsidR="00000000" w:rsidRPr="00000000" w:rsidDel="00000000">
      <w:rPr>
        <w:rtl w:val="0"/>
      </w:rPr>
      <w:t xml:space="preserve">28.05.2026. 19.20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Izziņa_26-TA-479.docx</dc:title>
</cp:coreProperties>
</file>

<file path=docProps/custom.xml><?xml version="1.0" encoding="utf-8"?>
<Properties xmlns="http://schemas.openxmlformats.org/officeDocument/2006/custom-properties" xmlns:vt="http://schemas.openxmlformats.org/officeDocument/2006/docPropsVTypes"/>
</file>