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25-TA-1842: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15. augusta noteikumos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(25.07.2025.)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15. augusta noteikumos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Lūdzam virzīt noteikumu projektu</w:t>
            </w:r>
            <w:r w:rsidR="00000000" w:rsidRPr="00000000" w:rsidDel="00000000">
              <w:rPr>
                <w:rtl w:val="0"/>
              </w:rPr>
              <w:t xml:space="preserve"> “Grozījumi Ministru kabineta 2023. gada 15. augusta noteikumos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w:t>
            </w:r>
            <w:r w:rsidR="00000000" w:rsidRPr="00000000" w:rsidDel="00000000">
              <w:rPr>
                <w:u w:val="single"/>
                <w:rtl w:val="0"/>
              </w:rPr>
              <w:t xml:space="preserve"> izskatīšanai Ministru kabinetā </w:t>
            </w:r>
            <w:r w:rsidR="00000000" w:rsidRPr="00000000" w:rsidDel="00000000">
              <w:rPr>
                <w:rtl w:val="0"/>
              </w:rPr>
              <w:t xml:space="preserve">(turpmāk - MK)</w:t>
            </w:r>
            <w:r w:rsidR="00000000" w:rsidRPr="00000000" w:rsidDel="00000000">
              <w:rPr>
                <w:u w:val="single"/>
                <w:rtl w:val="0"/>
              </w:rPr>
              <w:t xml:space="preserve"> vienlaikus vai pēc noteikumu projekta</w:t>
            </w:r>
            <w:r w:rsidR="00000000" w:rsidRPr="00000000" w:rsidDel="00000000">
              <w:rPr>
                <w:rtl w:val="0"/>
              </w:rPr>
              <w:t xml:space="preserve"> “Grozījumi Ministru kabineta 2024. gada 5. novembra noteikumos Nr. 704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ceturtās kārtas īstenošanas noteikumi”” </w:t>
            </w:r>
            <w:r w:rsidR="00000000" w:rsidRPr="00000000" w:rsidDel="00000000">
              <w:rPr>
                <w:u w:val="single"/>
                <w:rtl w:val="0"/>
              </w:rPr>
              <w:t xml:space="preserve"> izskatīšanas MK</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15. augusta noteikumos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 izskatīšanai Ministru kabinetā tiks virzīti vienlaikus ar noteikumu projektu “Grozījumi Ministru kabineta 2024. gada 5. novembra noteikumos Nr. 704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ceturtās kārtas īstenošanas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4. sadaļa, norādot, ka tiek veikti grozījumi arī MK 704.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palielināts 4.1.1.1.pasākuma "Ārstniecības iestāžu infrastruktūras attīstība" 1.kārtas pieejamais finansējums, tad lūdzam iesniegt Finanšu ministrijai 4.1.1.specifiskā atbalsta mērķa "Nodrošināt vienlīdzīgu piekļuvi veselības aprūpei un stiprināt veselības sistēmu, tostarp primārās veselības aprūpes noturību" rādītāju metodoloģijas aprakstu (rādītāju pasi).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2025. gada 28. augusta ES fondu tematiskajā komitejas sēdē atbalstītajam priekšlikumam par Eiropas Savienības kohēzijas politikas programmu 2021.–2027. gadam grozījumu tālāku virzību, paredzot gan papildu pārdales, lai reaģētu uz EK komentāriem, gan  iekļaujot REARM</w:t>
            </w:r>
            <w:r w:rsidR="00000000" w:rsidRPr="00000000" w:rsidDel="00000000">
              <w:rPr>
                <w:vertAlign w:val="superscript"/>
                <w:rtl w:val="0"/>
              </w:rPr>
              <w:t xml:space="preserve">1</w:t>
            </w:r>
            <w:r w:rsidR="00000000" w:rsidRPr="00000000" w:rsidDel="00000000">
              <w:rPr>
                <w:rtl w:val="0"/>
              </w:rPr>
              <w:t xml:space="preserve"> grozījumus, </w:t>
            </w:r>
            <w:r w:rsidR="00000000" w:rsidRPr="00000000" w:rsidDel="00000000">
              <w:rPr>
                <w:b w:val="1"/>
                <w:rtl w:val="0"/>
              </w:rPr>
              <w:t xml:space="preserve">Veselības ministrija</w:t>
            </w:r>
            <w:r w:rsidR="00000000" w:rsidRPr="00000000" w:rsidDel="00000000">
              <w:rPr>
                <w:rtl w:val="0"/>
              </w:rPr>
              <w:t xml:space="preserve">, reaģējot uz Vadošās iestādes uzsaukumu visām atbildīgajām iestādēm, </w:t>
            </w:r>
            <w:r w:rsidR="00000000" w:rsidRPr="00000000" w:rsidDel="00000000">
              <w:rPr>
                <w:b w:val="1"/>
                <w:rtl w:val="0"/>
              </w:rPr>
              <w:t xml:space="preserve">04.09.2025. iesniedza Vadošajai iestādei precizēto 4.1.1.SAM rādītāja pasi un pārējos saistošos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pārdales starp 4.1.1.1.pasākuma kārtām neietekmēs Programmā noteikto rādītāju sasniegšanu. Tiek mainīts vienīgi attiecināmais finansējuma sadalījums starp 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Eiropas Komisijas Kopīgo noteikumu regulas grozījumu priekšlikums  (Proposal for a REGULATION OF THE EUROPEAN PARLIAMENT AND OF THE COUNCIL amending Regulations (EU) 2021/1058 and (EU) 2021/1056 as regards specific measures to address strategic challenges in the context of the mid-term review (17.07.2025) Nr. 7682/25 (COM(2025) 123 final)</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“Pašreizējā situācija, problēmas un risinājumi” ar 4.1.1.1. pasākuma "Ārstniecības iestāžu infrastruktūras attīstība" katrai kārtai plānoto un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 kārtām 4.1.1.1. pasākuma finansējums šobrīd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4.1.1.1. pasākuma pirmās kārtas ietvaros plānotais un pieejamais kopējais finansējums ir 114 061 260 </w:t>
            </w:r>
            <w:r w:rsidR="00000000" w:rsidRPr="00000000" w:rsidDel="00000000">
              <w:rPr>
                <w:i w:val="1"/>
                <w:rtl w:val="0"/>
              </w:rPr>
              <w:t xml:space="preserve">euro</w:t>
            </w:r>
            <w:r w:rsidR="00000000" w:rsidRPr="00000000" w:rsidDel="00000000">
              <w:rPr>
                <w:rtl w:val="0"/>
              </w:rPr>
              <w:t xml:space="preserve">,  tai skaitā Eiropas Reģionālās attīstības fonda finansējums ir 96 952 070 </w:t>
            </w:r>
            <w:r w:rsidR="00000000" w:rsidRPr="00000000" w:rsidDel="00000000">
              <w:rPr>
                <w:i w:val="1"/>
                <w:rtl w:val="0"/>
              </w:rPr>
              <w:t xml:space="preserve">euro</w:t>
            </w:r>
            <w:r w:rsidR="00000000" w:rsidRPr="00000000" w:rsidDel="00000000">
              <w:rPr>
                <w:rtl w:val="0"/>
              </w:rPr>
              <w:t xml:space="preserve"> un nacionālais finansējums, kas iekļauj valsts budžeta un privāto finansējumu, ir 17 109 190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4.1.1.1. pasākuma otrās kārtas ietvaros plānotais un pieejamais kopējais finansējums ir 15 089 807 </w:t>
            </w:r>
            <w:r w:rsidR="00000000" w:rsidRPr="00000000" w:rsidDel="00000000">
              <w:rPr>
                <w:i w:val="1"/>
                <w:rtl w:val="0"/>
              </w:rPr>
              <w:t xml:space="preserve">euro</w:t>
            </w:r>
            <w:r w:rsidR="00000000" w:rsidRPr="00000000" w:rsidDel="00000000">
              <w:rPr>
                <w:rtl w:val="0"/>
              </w:rPr>
              <w:t xml:space="preserve">, tai skaitā Eiropas Reģionālās attīstības fonda finansējums – 12 826 335 </w:t>
            </w:r>
            <w:r w:rsidR="00000000" w:rsidRPr="00000000" w:rsidDel="00000000">
              <w:rPr>
                <w:i w:val="1"/>
                <w:rtl w:val="0"/>
              </w:rPr>
              <w:t xml:space="preserve">euro</w:t>
            </w:r>
            <w:r w:rsidR="00000000" w:rsidRPr="00000000" w:rsidDel="00000000">
              <w:rPr>
                <w:rtl w:val="0"/>
              </w:rPr>
              <w:t xml:space="preserve"> un nacionālais finansējums, kas iekļauj valsts budžeta un privāto finansējumu, – 2 263 472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4.1.1.1. pasākuma trešās kārtas ietvaros plānotais un pieejamais kopējais finansējums ir 7 957 886 </w:t>
            </w:r>
            <w:r w:rsidR="00000000" w:rsidRPr="00000000" w:rsidDel="00000000">
              <w:rPr>
                <w:i w:val="1"/>
                <w:rtl w:val="0"/>
              </w:rPr>
              <w:t xml:space="preserve">euro</w:t>
            </w:r>
            <w:r w:rsidR="00000000" w:rsidRPr="00000000" w:rsidDel="00000000">
              <w:rPr>
                <w:rtl w:val="0"/>
              </w:rPr>
              <w:t xml:space="preserve">, tai skaitā Eiropas Reģionālās attīstības fonda finansējums ir 6 764 203 </w:t>
            </w:r>
            <w:r w:rsidR="00000000" w:rsidRPr="00000000" w:rsidDel="00000000">
              <w:rPr>
                <w:i w:val="1"/>
                <w:rtl w:val="0"/>
              </w:rPr>
              <w:t xml:space="preserve">euro</w:t>
            </w:r>
            <w:r w:rsidR="00000000" w:rsidRPr="00000000" w:rsidDel="00000000">
              <w:rPr>
                <w:rtl w:val="0"/>
              </w:rPr>
              <w:t xml:space="preserve"> un nacionālais finansējums, kas iekļauj valsts budžeta un privāto finansējumu, ir 1 193 683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4.1.1.1. pasākuma ceturtās kārtas ietvaros plānotais un pieejamais kopējais finansējums ir 4 812 877 </w:t>
            </w:r>
            <w:r w:rsidR="00000000" w:rsidRPr="00000000" w:rsidDel="00000000">
              <w:rPr>
                <w:i w:val="1"/>
                <w:rtl w:val="0"/>
              </w:rPr>
              <w:t xml:space="preserve">euro</w:t>
            </w:r>
            <w:r w:rsidR="00000000" w:rsidRPr="00000000" w:rsidDel="00000000">
              <w:rPr>
                <w:rtl w:val="0"/>
              </w:rPr>
              <w:t xml:space="preserve">, tai skaitā Eiropas Reģionālās attīstības fonda finansējums ir 4 090 945 </w:t>
            </w:r>
            <w:r w:rsidR="00000000" w:rsidRPr="00000000" w:rsidDel="00000000">
              <w:rPr>
                <w:i w:val="1"/>
                <w:rtl w:val="0"/>
              </w:rPr>
              <w:t xml:space="preserve">euro</w:t>
            </w:r>
            <w:r w:rsidR="00000000" w:rsidRPr="00000000" w:rsidDel="00000000">
              <w:rPr>
                <w:rtl w:val="0"/>
              </w:rPr>
              <w:t xml:space="preserve"> un nacionālais finansējums, kas iekļauj valsts budžeta un privāto finansējumu, ir 721 932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4.1.1.1. pasākuma piektās kārtas ietvaros plānotais un pieejamais kopējais finansējums ir 133 543 211 </w:t>
            </w:r>
            <w:r w:rsidR="00000000" w:rsidRPr="00000000" w:rsidDel="00000000">
              <w:rPr>
                <w:i w:val="1"/>
                <w:rtl w:val="0"/>
              </w:rPr>
              <w:t xml:space="preserve">euro</w:t>
            </w:r>
            <w:r w:rsidR="00000000" w:rsidRPr="00000000" w:rsidDel="00000000">
              <w:rPr>
                <w:rtl w:val="0"/>
              </w:rPr>
              <w:t xml:space="preserve"> (no tā elastības finansējums – 46 682 293</w:t>
            </w:r>
            <w:r w:rsidR="00000000" w:rsidRPr="00000000" w:rsidDel="00000000">
              <w:rPr>
                <w:i w:val="1"/>
                <w:rtl w:val="0"/>
              </w:rPr>
              <w:t xml:space="preserve"> euro</w:t>
            </w:r>
            <w:r w:rsidR="00000000" w:rsidRPr="00000000" w:rsidDel="00000000">
              <w:rPr>
                <w:rtl w:val="0"/>
              </w:rPr>
              <w:t xml:space="preserve">), tai skaitā Eiropas Reģionālās attīstības fonda finansējums ir 113 511 729 </w:t>
            </w:r>
            <w:r w:rsidR="00000000" w:rsidRPr="00000000" w:rsidDel="00000000">
              <w:rPr>
                <w:i w:val="1"/>
                <w:rtl w:val="0"/>
              </w:rPr>
              <w:t xml:space="preserve">euro</w:t>
            </w:r>
            <w:r w:rsidR="00000000" w:rsidRPr="00000000" w:rsidDel="00000000">
              <w:rPr>
                <w:rtl w:val="0"/>
              </w:rPr>
              <w:t xml:space="preserve"> (no tā elastības finansējums – 39 679 949 </w:t>
            </w:r>
            <w:r w:rsidR="00000000" w:rsidRPr="00000000" w:rsidDel="00000000">
              <w:rPr>
                <w:i w:val="1"/>
                <w:rtl w:val="0"/>
              </w:rPr>
              <w:t xml:space="preserve">euro</w:t>
            </w:r>
            <w:r w:rsidR="00000000" w:rsidRPr="00000000" w:rsidDel="00000000">
              <w:rPr>
                <w:rtl w:val="0"/>
              </w:rPr>
              <w:t xml:space="preserve">) un nacionālais finansējums, kas iekļauj valsts budžeta un privāto finansējumu, ir 20 031 482 </w:t>
            </w:r>
            <w:r w:rsidR="00000000" w:rsidRPr="00000000" w:rsidDel="00000000">
              <w:rPr>
                <w:i w:val="1"/>
                <w:rtl w:val="0"/>
              </w:rPr>
              <w:t xml:space="preserve">euro</w:t>
            </w:r>
            <w:r w:rsidR="00000000" w:rsidRPr="00000000" w:rsidDel="00000000">
              <w:rPr>
                <w:rtl w:val="0"/>
              </w:rPr>
              <w:t xml:space="preserve"> (no tā elastības finansējums – 7 002 344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sadaļas “Pašreizējā situācija, problēmas un risinājumi” apakšsadaļas “Problēmas apraksts” norādot, kura iestāde, un kur pielēma, par 4.1.1.1. pasākuma "Ārstniecības iestāžu infrastruktūras attīstība" ceturtās kārtas atlases ietvaros neizmantotā finansējuma pārdali TOS un VTMEC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un sniegts skaidrojums.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veselības aprūpes nozares prioritātes, mērķus pakalpojumu pieejamībai un iepriekš minētās vajadzības, Veselības ministrija kā nozares ministrija lēma par šādas finansējuma pārdales veikšanu.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sadaļas “Pašreizējā situācija, problēmas un risinājumi” apakšsadaļas “Problēmas apraksts” norādot, </w:t>
            </w:r>
            <w:r w:rsidR="00000000" w:rsidRPr="00000000" w:rsidDel="00000000">
              <w:rPr>
                <w:u w:val="single"/>
                <w:rtl w:val="0"/>
              </w:rPr>
              <w:t xml:space="preserve">kāpēc 4.1.1.1. pasākuma</w:t>
            </w:r>
            <w:r w:rsidR="00000000" w:rsidRPr="00000000" w:rsidDel="00000000">
              <w:rPr>
                <w:rtl w:val="0"/>
              </w:rPr>
              <w:t xml:space="preserve"> "Ārstniecības iestāžu infrastruktūras attīstība" </w:t>
            </w:r>
            <w:r w:rsidR="00000000" w:rsidRPr="00000000" w:rsidDel="00000000">
              <w:rPr>
                <w:u w:val="single"/>
                <w:rtl w:val="0"/>
              </w:rPr>
              <w:t xml:space="preserve">ceturtās kārtas atlases ietvaros netika iesniegti visi plānotie projekti</w:t>
            </w:r>
            <w:r w:rsidR="00000000" w:rsidRPr="00000000" w:rsidDel="00000000">
              <w:rPr>
                <w:rtl w:val="0"/>
              </w:rPr>
              <w:t xml:space="preserve">, t.i. norādot būtiskākos iemeslus, kāpēc atteicās.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sniedzam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iemeslus, kāpēc daļa potenciālo projektu iesniedzēju neiesniedza projektus,  minami divi: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diezgan apjomīga privātā līdzfinansējuma piesaistes dēļ, jo  lielu maksas pakalpojumu īpatsvara gadījumā infrastruktūras attīstības projektā ir jāiegulda arī privātais finansējums;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kā dažiem atbalsta saņēmējiem projektā pieejamais finansējums nebija liels (daži desmiti tūkstoši </w:t>
            </w:r>
            <w:r w:rsidR="00000000" w:rsidRPr="00000000" w:rsidDel="00000000">
              <w:rPr>
                <w:i w:val="1"/>
                <w:rtl w:val="0"/>
              </w:rPr>
              <w:t xml:space="preserve">euro</w:t>
            </w:r>
            <w:r w:rsidR="00000000" w:rsidRPr="00000000" w:rsidDel="00000000">
              <w:rPr>
                <w:rtl w:val="0"/>
              </w:rPr>
              <w:t xml:space="preserve">),  izvērtējot projekta iesnieguma sagatavošanā ieguldāmo laiku un darbu, tika nolemts atlasē nepiedalīties.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atgādinām, ka atbalsta finansējums katram individuāli tika sadalīts pēc konkrēta algoritma, proti - finansējuma saņēmēji noteikti, ņemot vērā, ka tās ir ārstniecības iestādes, kas sniedz valsts apmaksātos veselības aprūpes diagnostiskos izmeklējumus sirds un asinsvadu jomā (turpmāk – SAS) un/vai pēcskrīninga izmeklējumus onkoloģijas jomā un kurām unikālo pacientu skaits atbalstāmajās programmās ir vismaz 500 pacienti, kā arī tās, kam nav sniegts atbalsts citās Programmas specifiskā atbalsta mērķa 4.1.1.1. pasākuma "Ārstniecības iestāžu infrastruktūras attīstība" atlases kārtās.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arī kārtā pieejamais finansējums katram individuāli noteikts - sarēķināts, pamatojoties uz valsts apmaksāto ambulatoro kvotēto SAS programmu un nekvotētās “zarnu vēža pēcskrīnings” programmas skaitu attiecīgajai iestādei (kritērija svars - 50%) un unikālo pacientu skaitu iepriekšējā gadā (kritērija svars - 50%), izmantojot Nacionālā veselības dienesta datus par 2023. gadu. Atbalsta saņēmēju lokā tika iekļautas ārstniecības iestādes, kam unikālo pacientu skaits ir vismaz 500 pacienti vienā vai vairākās programmās no šādām valsts apmaksāto ambulatoro kvotēto vai nekvotēto programmām – “doplerogrāfija”, “elektrokardiogrāfija”, “invazīvā kardioloģija dienas stacionārā”, “kardioloģija”, “neiroelektrofizioloģiskie funkcionālie izmeklējumi”, “pārējie sirds asinsvadu sistēmas funkcionālie izmeklējumi” un “zarnu vēža pēcskrīnings”.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sadaļas “Pašreizējā situācija, problēmas un risinājumi” apakšsadaļas “Problēmas apraksts” norādot, kad iezīmējās risks, ka nevarēs sasniegt Valsts tiesu medicīnas ekspertīzes centra projekta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sniedzam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un funkcionalitāte tiek sasniegta arī bez papildus finansējuma. Ņemot vērā jau sākotnēji zināmo ierobežoto attīstības finansējumu, vērtējot projektu, tika noteikts, ka telpas iekārtos ar pieejamajiem resursiem, proti mēbelēm un aprīkojumu, vai to nomainīs pakāpeniski. Tomēr jau projekta realizācijas laikā, aprīkojuma nolietojums bija sasniedzis maksimumu, kā arī telpu pārbūves funkcionalitāte  jau norādīja, ka papildus mēbeles un aprīkojums ir nepieciešams. Attiecīgi, identificējot papildus pieejamo finansējumu no citas kārtas, VM nolēma prioritāri šo finansējumu novirzīt VTMEC sniegto pakalpojumu pilnvērtīgai funkcionalitātei.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sadaļas “Pašreizējā situācija, problēmas un risinājumi” apakšsadaļas “Problēmas apraksts” otro rindkopu norādot,</w:t>
            </w:r>
            <w:r w:rsidR="00000000" w:rsidRPr="00000000" w:rsidDel="00000000">
              <w:rPr>
                <w:b w:val="1"/>
                <w:rtl w:val="0"/>
              </w:rPr>
              <w:t xml:space="preserve"> </w:t>
            </w:r>
            <w:r w:rsidR="00000000" w:rsidRPr="00000000" w:rsidDel="00000000">
              <w:rPr>
                <w:b w:val="1"/>
                <w:u w:val="single"/>
                <w:rtl w:val="0"/>
              </w:rPr>
              <w:t xml:space="preserve">kā </w:t>
            </w:r>
            <w:r w:rsidR="00000000" w:rsidRPr="00000000" w:rsidDel="00000000">
              <w:rPr>
                <w:u w:val="single"/>
                <w:rtl w:val="0"/>
              </w:rPr>
              <w:t xml:space="preserve">plānošanas laikā tika konstatēts</w:t>
            </w:r>
            <w:r w:rsidR="00000000" w:rsidRPr="00000000" w:rsidDel="00000000">
              <w:rPr>
                <w:rtl w:val="0"/>
              </w:rPr>
              <w:t xml:space="preserve">, ka pilnvērtīgākai un efektīvākai Veselības aprūpes pakalpojumu onkoloģijas jomā uzlabošanas plānā 2022. – 2024. gadam noteiktā pasākuma nodrošināšanai nepieciešams veikt Mugurkaula un locītavu ķirurģijas centra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jau sākotnēji par pieejamo finansējumu tika plānots attīstīt Mugurkaula un locītavu ķirurģijas centru, un projekta mērķis un funkcionalitāte tiek sasniegta par esošo finansējumu. Projekta īstenošanas laikā vadošie mugurkaula ķirurgi – ārstniecības personas, eksperti, slimnīcas vadība, kuri var spriest par telpu funkcionalitāti, konstatēja, ka ērtākai un efektīvākai ārstēšanai nepieciešamas telpu loģistikas izmaiņas, par ko attiecīgi informēja Veselības ministriju. Tam nepieciešams papildus finansējums. Attiecīgi, identificējot pieejamo finansējumu no citas kārtas, Veselības ministrija nolēma prioritāri šo finansējumu pārvirzīt Mugurkaula un locītavu ķirurģijas centra attīstībai. Reorganizācija juridiskā formātā nav veikta.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anotācijā visus noteikumu projektā iekļautos grozījumus, t.i. 2. punktā noteiktos grozījumus.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Norādīts, ka papildināts MK noteikumu Nr. 462 55. punkts, norādot, ka VTMEC var iesniegt priekšlikumus par grozījumiem līguma nosacījumos, paredzot palielināt attiecināmās izmaksas, nepārsniedzot šo noteikumu ​pielikuma 1.13. ailē norādīto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anotācijā ir norādīts, ka pēc grozījumu stāšanās spēkā būs nepieciešams veikt izmaiņas īstenošanā esošajos VSIA „Traumatoloģijas un ortopēdijas slimnīca” un Valsts tiesu medicīnas ekspertīzes centra projektos, un tie uzskatāmi par būtiskiem, lūdzam papildināt anotāciju saistībā ar to, ka izmaiņas neietekmēs VSIA „Traumatoloģijas un ortopēdijas slimnīca” un Valsts tiesu medicīnas ekspertīzes centra projektu darbības veidu, mērķus vai īstenošanas nosacījumus, tādējādi traucējot to sākotnējo mērķu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izmaiņas TOS un VTMEC projektos nemainīs projektu darbības veidu, mērķus vai īstenošanas nosacījumus un veicinās to sākotnējo mērķu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 punktā norādīti izpildes dati 4.1.1. SAM 4.1.1.1. pasākuma pirmās kārtas finansējuma izlietojumam 2024. un 2025. gadā. Vienlaikus turpmāk minēts, ka šobrīd finansējums 4.1.1. SAM 4.1.1.1. pasākuma pirmajai kārtai nav iestrādāts likumā “Par valsts budžetu 2025. gadam un budžeta ietvaru 2025., 2026. un 2027. gadam”. Tādējādi lūdzam precizēt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2024. un 2025. gada finansējums, ņemot vērā, ka tas nebija iekļauts likumā “Par valsts budžetu 2025. gadam un budžeta ietvaru 2025., 2026. un 2027. gadam”, tika pieprasīts no 74. resora “Gadskārtējā valsts budžeta izpildes procesā pārdalāmais finansējums” 80.00.00. programmas “Nesadalītais finansējums Eiropas Savienības politiku instrumentu un pārējās ārvalstu finanšu palīdzības līdzfinansēto projektu un pasākumu īstenošanai” atbilstoši noteiktai kartībai 2018. gada 17. jūlija MK noteikumos Nr.421 "Kārtība, kādā veic gadskārtējā valsts budžeta likumā noteiktās apropriācijas izmaiņas". Minētais ir aprakstīts Anotācijas 3. sadaļas 6.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3. sadaļas 6. punktā norādītais finansējuma sadalījums pa gadiem neveido norādīto pēc grozījumu projekta stāšanās spēkā 4.1.1. SAM 4.1.1.1. pasākuma pirmās kārtas kopējo plānoto un pieejamo finansējuma apmēru, lūdzam precizēt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50.9. nodrošina, ka iepirkumus, kuri nepieciešami atbalstāmo darbību īstenošanai, finansējuma saņēmējs vai sadarbības partneris veic atklātā, pārredzamā, nediskriminējošā un konkurenci nodrošinošā, sociāli atbildīgā veidā, kā arī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Ministru kabineta 2023. gada 15. augusta noteikumu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 50.9. apakšpunktā noteiktās prasības publiskā iepirkuma veikšanai, paredzot iespēju finansējuma saņēmējiem izvēlēties iepirkuma prasības, t.i. vai piemērot, vai nepiemērot minētos iepirkumu veidus, kā arī paredzot izvēlēties piemērot atsevišķus iepirkuma elementus (piemēram, atbalstu sociālo uzņēmēju dalībai publiskajos iepirkumos), lai būtu viennozīmīgi skaidra un izsekojama, kā arī novērtējama prasība), vienlaikus nodrošinot, ka iepirkumus, kuri nepieciešami atbalstāmo darbību īstenošanai, finansējuma saņēmējs veic atklātā, pārredzamā, nediskriminējošā un konkurenci nodrošinošā procedūrā.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50.9.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50.9. nodrošina, ka iepirkumus, kuri nepieciešami atbalstāmo darbību īstenošanai, finansējuma saņēmējs vai sadarbības partneris veic atklātā, pārredzamā, nediskriminējošā un konkurenci nodrošinošā, iespēju robežās sociāli atbildīgā veidā, kā arī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25-TA-1842</w:t>
    </w:r>
    <w:r>
      <w:br/>
    </w:r>
    <w:r w:rsidR="00000000" w:rsidRPr="00000000" w:rsidDel="00000000">
      <w:rPr>
        <w:rtl w:val="0"/>
      </w:rPr>
      <w:t xml:space="preserve">23.09.2025. 11.39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25-TA-1842</w:t>
    </w:r>
    <w:r>
      <w:br/>
    </w:r>
    <w:r w:rsidR="00000000" w:rsidRPr="00000000" w:rsidDel="00000000">
      <w:rPr>
        <w:rtl w:val="0"/>
      </w:rPr>
      <w:t xml:space="preserve">23.09.2025. 11.39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Izziņa_25-TA-1842.docx</dc:title>
</cp:coreProperties>
</file>

<file path=docProps/custom.xml><?xml version="1.0" encoding="utf-8"?>
<Properties xmlns="http://schemas.openxmlformats.org/officeDocument/2006/custom-properties" xmlns:vt="http://schemas.openxmlformats.org/officeDocument/2006/docPropsVTypes"/>
</file>