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23-TA-1175: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specifiskā atbalsta mērķa Nr. 4.3.4.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nav ņēmusi vērā Finanšu ministrijas priekšlikumu, kurā tika lūgts papildināt noteikumu projektu ar normu, kas paredz, ka finansējuma saņēmējs veic izmaksu un ieguvumu analīzi. Kā pamatojumu izmaksu un ieguvumu analīzes neveikšanai Tieslietu ministrija anotācijā ir norādījusi, ka: "</w:t>
            </w:r>
            <w:r w:rsidR="00000000" w:rsidRPr="00000000" w:rsidDel="00000000">
              <w:rPr>
                <w:i w:val="1"/>
                <w:rtl w:val="0"/>
              </w:rPr>
              <w:t xml:space="preserve">Indikatīvais ietekmes novērtējums uz valsts un pašvaldību budžetiem, kā arī ES struktūrfondu un Kohēzijas fonda 2021.-2027. gada plānošanas perioda finansējuma izlietojums ir vērtēts un pamatots ar Ministru kabineta 2022. gada 13. jūnija rīkojumu Nr. 413 "Par Resocializācijas politikas pamatnostādnēm 2022.–2027. gadam" (turpmāk – Rīkojums Nr.413) apstiprinātajās Resocializācijas politikas pamatnostādnēs 2022.–2027. gada (turpmāk – Resocializācijas pamatnostādnes), to 4.pielikumā. Līdz ar to izmaksu analīze jau ir veikta minētajā Ministru kabinetā apstiprinātajā plānošanas dokumentā.  </w:t>
            </w:r>
            <w:r w:rsidR="00000000" w:rsidRPr="00000000" w:rsidDel="00000000">
              <w:rPr>
                <w:i w:val="1"/>
                <w:rtl w:val="0"/>
              </w:rPr>
              <w:t xml:space="preserve">Attiecībā uz ieguvumu analīzi Attīstības plānošanas dokumentu izstrādes un ietekmes izvērtēšanas noteikumu 34. un 35.punkts noteic, ka politikas plānošanā veic sākotnējo, starpposma un gala ietekmes izvērtējumu un politikas ietekmes objektu identificēšanu, konstatējot, kādu ietekmi šī politika ir radījusi. Ņemot vērā minēto, kā arī to, ka Projektā plānotie pasākumi atspoguļoti Resocializācijas pamatnostādnēs un to īstenošanas plānā, Projekta ieguvumi tiks analizēti ievērojot Rīkojuma Nr.413 5.punktā noteikto - Tieslietu ministrijai sagatavot un tieslietu ministram līdz 2025. gada 1. jūlijam iesniegt noteiktā kārtībā Ministru kabinetā pamatnostādņu īstenošanas starpposma novērtējumu, kā arī gala ietekmes ziņojumā. Abos izvērtējumos, tai skaitā tiks apkopota Projekta finansējuma saņēmēja – IeVP, sniegtā informācija par pasākumu izpildes gaitu un rezultātiem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izvērtējot anotācijā sniegto skaidrojumu un noteikumu būtību, izmaksu un ieguvumu analīze pēc būtības ir nepieciešama, lai noteiktu, vai plānotajā projektā gaidāmie ieguvumi (finanšu vai sociālekonomiskie) ir lielāki par projekta izmaksām visā projekta dzīves ciklā. Parasti publiskās pārvaldes projekti finansiāli rada zaudējumus, tādēļ vienīgais to attaisnojošais iemesls ir gaidāmie sociālekonomiskie ieguvumi no projekta jeb labums sabiedrībai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pasākumā plānots nodarbināmības priekšnosacījumu nodrošināšana ieslodzītajiem, pilnveidojot resocializācijas sistēmas efektivitāti, sekmējot bijušo ieslodzīto iekļaušanos, vienlīdzīgas iespējas un aktīvu līdzdalību, un plānots, ka specifisko atbalstu saņems 3000 ieslodzīto, viņu ģimenes locekļi un atbalsta personas, izmaksu un ieguvumu analīzes ietvaros nepieciešams noteikt, par cik atbalsta pasākuma rezultātā palielināsies to personu skaits, kas, piemēram, vairs neatgriezīsies ieslodzījumā (salīdzinājumā ar situāciju bez projekta), tātad tērēs mazāk valsts budžeta līdzekļus vai pat dos papildu devumu valsts budžetā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lūdzam papildināt noteikumu projektu ar normu, kas paredz, ka finansējuma saņēmējs veic izmaksu un ieguvumu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anotācijas 1.3. sadaļā "Pašreizējā situācija, problēmas un risinājumi" un tajā pievienoto pielikumu - "Excel" failu ar izmaksu un ieguvumu analīzi.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personāla atlīdzības izmaksas, kas ir projekta īstenošanas un vadības personāla atlīdzības izmaksas, tostarp veselības apdrošināšanas, veselības pārbaužu un redzes korekcijas līdzekļu kompensācijas izmaksas, šo noteikumu 14. punktā noteikto darbību īstenošanai. Izmaksas ir attiecināmas atbilstoši atbildīgās iestādes apstiprinātajai vienas vienības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"veselības pārbaužu", tā kā šīs izmaksas neietilpst personāla atlīdzības izmaksās.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16.1.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personāla atlīdzības izmaksas, kas ir projekta īstenošanas un vadības personāla izmaksas, šo noteikumu 14. punktā noteikto darbību īstenošanai. Izmaksas ir attiecināmas atbilstoši atbildīgās iestādes apstiprinātajai vienas vienības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16.2.2.2. 16.2.2.2. ārvalstu komandējumu izmaksas, tai skaitā projekta vadītājam un projekta īstenošanas personālam šo noteikumu 14.1., 14.2., 14.3., 14.4., 14.6. un 14.9. apakšpunktā minēto atbalstāmo darbību īstenošanai. Ārvalstu komandējumu izmaksas aprēķina un atlīdzina atbilstoši normatīvajiem aktiem par kārtību,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ārvalstu komandējuma izmaksas atbilstoši VI vadlīniju Nr. 1.2. "Vadlīnijas attiecināmo izmaksu noteikšanai Eiropas Savienības kohēzijas politikas programmas 2021.-2027.gada plānošanas periodā" 47.punkta (62.zemsvītrā atsaucē) minētajam, attiecināmas projekta vadītājam un projekta īstenošanas personālam, līdz ar to lūdzam svītrot vārdus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16.2.2.2.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16.2.2.2. ārvalstu komandējumu izmaksas projekta vadītājam un projekta īstenošanas personālam šo noteikumu 14.1., 14.2., 14.3., 14.4., 14.6. un 14.9. apakšpunktā minēto atbalstāmo darbību īstenošanai. Ārvalstu komandējumu izmaksas aprēķina un atlīdzina atbilstoši normatīvajiem aktiem par kārtību,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darba vietas aprīkojuma iegādes īres vai nomas izmaksas ir attiecināmas projekta vadības un projekta īstenošanas personālam jaunu darba vietu radīšanai vai esošu darba vietu aprīkojuma atjaunošanai, uzturēšanai un remontam ne vairāk kā 3000 euro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14.9. apakšpunktā minēto atbalstāmo darbību īstenošanai), ņemot vērā darbinieka iesaistes periodu projektā pret projekta kopējo īstenošanas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9.1.apakšpunktu darba vietas aprīkojuma izmaksas var plānot kā tiešās attiecināmās izmaksas tikai jaunradītu darba vietu aprīkošanai vai</w:t>
            </w:r>
            <w:r w:rsidR="00000000" w:rsidRPr="00000000" w:rsidDel="00000000">
              <w:rPr>
                <w:u w:val="single"/>
                <w:rtl w:val="0"/>
              </w:rPr>
              <w:t xml:space="preserve"> </w:t>
            </w:r>
            <w:r w:rsidR="00000000" w:rsidRPr="00000000" w:rsidDel="00000000">
              <w:rPr>
                <w:u w:val="single"/>
                <w:rtl w:val="0"/>
              </w:rPr>
              <w:t xml:space="preserve">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16.2.3.apakšpunkta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darba vietas aprīkojuma iegādes īres vai nomas izmaksas ir attiecināmas projekta vadības un projekta īstenošanas personālam jaunu darba vietu radīšanai vai </w:t>
            </w:r>
            <w:r w:rsidR="00000000" w:rsidRPr="00000000" w:rsidDel="00000000">
              <w:rPr>
                <w:shd w:fill="#f1c40f" w:val="clear"/>
                <w:rtl w:val="0"/>
              </w:rPr>
              <w:t xml:space="preserve">gadījumos, ja esošo darba vietu aprīkojums ir nolietojies un tiek norakstīts</w:t>
            </w:r>
            <w:r w:rsidR="00000000" w:rsidRPr="00000000" w:rsidDel="00000000">
              <w:rPr>
                <w:rtl w:val="0"/>
              </w:rPr>
              <w:t xml:space="preserve">, uzturēšanai un remontam ne vairāk kā 3000 euro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14.9. apakšpunktā minēto atbalstāmo darbību īstenošanai.</w:t>
            </w:r>
            <w:r w:rsidR="00000000" w:rsidRPr="00000000" w:rsidDel="00000000">
              <w:rPr>
                <w:shd w:fill="#f1c40f" w:val="clear"/>
                <w:rtl w:val="0"/>
              </w:rPr>
              <w:t xml:space="preserve"> Savukārt daļlaika izmaksu attiecināšanas principa gadījumā</w:t>
            </w:r>
            <w:r w:rsidR="00000000" w:rsidRPr="00000000" w:rsidDel="00000000">
              <w:rPr>
                <w:rtl w:val="0"/>
              </w:rPr>
              <w:t xml:space="preserve"> jāņem vērā darbinieka iesaistes periods projektā pret projekta kopējo īstenošanas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16.2.3.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darba vietas aprīkojuma iegādes vai nomas izmaksas ir attiecināmas projekta vadības un projekta īstenošanas personālam jaunu darba vietu radīšanai vai gadījumos, ja esošo darba vietu aprīkojums ir nolietojies un tiek norakstīts, uzturēšanai un remontam ne vairāk kā 3000 euro apmērā vienai darba vietai visā projekta īstenošanas laikā (ja projekta vadības un projekta īstenošanas personāls ir nodarbināts pilnu darba laiku, darba vietas aprīkojuma iegādes vai nomas izmaksas ir attiecināmas 100 procentu apmērā, bet nepilna darba laika gadījumā – ņemot vērā attiecīgā darba laika proporciju. Savukārt, daļlaika izmaksu attiecināšanas principa gadījumā jāņem vērā darbinieka iesaistes periods projektā pret projekta kopējo īstenošanas ilgumu un daļlaika proporcija darbam projektā šo noteikumu 14.9. apakšpunktā minēto atbalstāmo darbību īstenošanai).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darba vietas aprīkojuma iegādes īres vai nomas izmaksas ir attiecināmas projekta vadības un projekta īstenošanas personālam jaunu darba vietu radīšanai vai esošu darba vietu aprīkojuma atjaunošanai, uzturēšanai un remontam ne vairāk kā 3000 euro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14.9. apakšpunktā minēto atbalstāmo darbību īstenošanai), ņemot vērā darbinieka iesaistes periodu projektā pret projekta kopējo īstenošanas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apakšpunkta 16.2.3. redakciju, ņemot vērā, ka nosacījums par darbinieka iesaistes periodu projektā attiecas tikai uz daļlaiku. MK noteikumu projekta 16.2.3. apakšpunktā iekļauta stingrāka prasība, nekā to paredz VI Vadlīnijas attiecināmo izmaksu noteikšanai (Nr. 1.2.). Saskaņā ar  šo vadlīniju 9.5.punktu darba vietas aprīkojuma izmaksas ir attiecināmas atbilstoši slodzes apmēram – darbiniekiem, kuri strādā normālo darba laiku, aprīkojuma izmaksas ir attiecināmas 100% apmērā, </w:t>
            </w:r>
            <w:r w:rsidR="00000000" w:rsidRPr="00000000" w:rsidDel="00000000">
              <w:rPr>
                <w:u w:val="single"/>
                <w:rtl w:val="0"/>
              </w:rPr>
              <w:t xml:space="preserve">bet nepilna darba laika gadījumā – ņemot vērā attiecīgā darba laika proporciju. Savukārt, saskaņā ar vadlīniju 33.punktu daļlaika gadījumā jāņem vērā darbinieka iesaistes periods projektā pret projekta kopējo īstenošanas ilgumu un daļlaika proporcija darbam projektā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izziņas 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darba vietas aprīkojuma iegādes vai nomas izmaksas ir attiecināmas projekta vadības un projekta īstenošanas personālam jaunu darba vietu radīšanai vai gadījumos, ja esošo darba vietu aprīkojums ir nolietojies un tiek norakstīts, uzturēšanai un remontam ne vairāk kā 3000 euro apmērā vienai darba vietai visā projekta īstenošanas laikā (ja projekta vadības un projekta īstenošanas personāls ir nodarbināts pilnu darba laiku, darba vietas aprīkojuma iegādes vai nomas izmaksas ir attiecināmas 100 procentu apmērā, bet nepilna darba laika gadījumā – ņemot vērā attiecīgā darba laika proporciju. Savukārt, daļlaika izmaksu attiecināšanas principa gadījumā jāņem vērā darbinieka iesaistes periods projektā pret projekta kopējo īstenošanas ilgumu un daļlaika proporcija darbam projektā šo noteikumu 14.9. apakšpunktā minēto atbalstāmo darbību īstenošanai).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16.2.7. informatīvo un publicitātes pasākumu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47. un 50. pantam un kārtībai, kādā Eiropas Savienības fondu vadībā iesaistītās institūcijas nodrošina šo fondu ieviešanu 2021.–2027.gada plānošanas periodā, kā arī  Eiropas Savienības fondu 2021.–2027. gada plānošanas perioda un Atveseļošanas fonda komunikācijas un dizaina vadlīnijām šo noteikumu 14.6. un 14.10. apakšpunktos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16.2.7.apakšpunktā dzēst atsauci uz šo noteikumu 14.6.apakšpunktu. Lūdzam ņemt vērā, ka atsauce uz 14.6. apakšpunktā minēto darbību nav akceptējama, jo 16.2.7. apakšpunktā minētās izmaksas ir paredzētas projekta informatīvajiem un obligātās publicitātes pasākumiem par projekta īstenošanu saskaņā ar Regulas Nr.2021/1060) 47. un 50. pantiem.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16.2.7.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16.2.7. komunikācijas un vizuālās identitātes prasību nodrošināšanas izmaksas atbilstoši šo noteikumu 14.10.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atbalstāmo darbību ietvaros ir attiecināms pievienotās vērtības nodoklis atbilstoši Regulas Nr. 2021/1060 64. panta 1. punkta "c" apakšpunkta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ar skaidrojumu, norādot, ka tiks nodrošināts dubultā finansējuma novēršanas risks attiecībā uz PVN līdzekļu attiecināšanu/atgūšanu.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punkta “1.3. Pašreizējā situācija, problēmas un risinājumi” sadaļu "Sinerģija un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13)Pievienotās vērtības nodoklis tiks attiecināts gadījumos, kad tas nav atgūstams saskaņā ar PVN reglamentējošiem valsts tiesību aktiem, attiecīgi novēršot dubultfinansējuma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atbalstāmo darbību ietvaros ir attiecināms pievienotās vērtības nodoklis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 panta 1. punkta "c" apakšpunkta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specifiskā atbalsta mērķa Nr. 4.3.4. "Sekmēt aktīvu iekļaušanu, lai veicinātu vienlīdzīgas iespējas, nediskriminēšanu un aktīvu līdzdalību, kā arī uzlabotu nodarbinātību, jo īpaši attiecībā uz nelabvēlīgā situācijā esošām grupām" 4.3.4.7. pasākuma  "Nodarbināmības priekšnosacījumu nodrošināšana ieslodzītajiem, pilnveidojot resocializācijas sistēmas efektivitāti, vienlaikus sekmējot bijušo ieslodzīto iekļaušanos, vienlīdzīgas iespējas un aktīvu līdzdalību" īstenošanas noteikumi (turpmāk – noteikumu projekts) 22.2.-22.5. apakšpunktos ir paredzēts veikt personu datu apstrādi. Kā noprotams gan no paša noteikumu projekta satura, gan no noteikumu projekta anotācijā norādītās informācijas, 22.2.-22.5. punktos paredzētas dažādas personu datu apstrādes dažādos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22.2. apakšpunktā paredzēto personu datu apstrādi Inspekcija norāda, ka jau no pašas normas satura ir saprotams gan paredzētās datu apstrādes nolūks, gan datu subjekti, kuru dati tiks apstrādāti, kā arī apstrādājamo datu kategorijas un vienības kam minētie dati tiks nodoti un kādā nolūkā. Tāpat no 22.2.1. apakšpunkta ir saprotams arī datu glabāšanas termiņš. Iepazīstoties ar anotācijā norādīto informāciju ir saprotams arī kāds ir 22.2. apakšpunktā paredzētās datu apstrādes tiesiskais pamats. </w:t>
            </w:r>
            <w:r w:rsidR="00000000" w:rsidRPr="00000000" w:rsidDel="00000000">
              <w:rPr>
                <w:u w:val="single"/>
                <w:rtl w:val="0"/>
              </w:rPr>
              <w:t xml:space="preserve">Tajā pat laikā, Datu valsts inspekcija (turpmāk - Inspekcija) norāda, ka visa augstāk minētā informācija par datu apstrādi un tās apjomu nav sniegta attiecībā uz 22.3., 22.4. un 22.5. apakšpunktos paredzētajām personu datu apstrādēm.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skaidro, ka personu datu apstrādē ir jāievēro Vispārīgās datu aizsardzības regulas (turpmāk – Datu regula) prasības, tostarp Datu regulas 5. pantā nostiprinātie datu apstrādes principi. Datu regulas 5. panta 1. punkta a) apakšpunktā nostiprināts princips “likumīgums, godprātība un pārredzamība”, saskaņā ar kuru dati ir jāapstrādā likumīgi (jābūt kādam no Datu regulas 6. panta 1. punktā minētajiem datu apstrādes pamatojumiem), godprātīgi un pārredzami (datu subjektam ir jābūt skaidrai veicamajai datu apstrādei, tās apjomam, nolūkiem, glabāšanas termiņiem). Datu regulas 5. panta 1. punkta b) apakšpunktā nostiprināts nolūka ierobežojuma princips, kas būtībā nosaka, ka datu apstrādi veic skaidros un leģitīmos nolūkos, un to turpmāku apstrādi neveic ar minētajiem nolūkiem nesavienojamā veidā. Tāpat svarīgs ir arī Datu regulas 5. panta 1. punkta c) apakšpunktā nostiprinātais datu minimizēšanas princips, saskaņā ar kuru, apstrādāti tiek tikai tie dati, kas ir patiesi un absolūti “nepieciešami” konkrēta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Datu regulā nostiprinātajiem principiem izriet, ka gadījumā, kad tiek paredzēta personu datu apstrāde, tiesību aktā ar kuru to paredz būtu gana skaidri jānorāda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skaidrs datu apstrādes nolūks (gana skaidrs, lai varētu izsecināt iespējamos apstrādājamos datu veidus jeb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subjekti, kuru datus paredzēts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veidus jeb kategorijas, kuras paredzēts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glabāšanas termiņus (ja datus ir paredzēts uzglabāt), papildus anotācijā skaidrojot to, kāpēc šāds termiņš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vienības, kam dati var tikt nodoti un kādā nolūkā (ja datus paredzēts kādam nodot).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gadījumā, ja datu apstrādei ir paredzēts izmantot tehniskos līdzekļus, minētā informācija arī būtu jānorāda konkrētajā normā, kas paredz datu apstrādi konkrētajam nolūkam. Tāpat, ja datus paredzēts apstrādāt kādā informācijas sistēmā – būtu jānorāda uz to normā, turklāt, ja ar normu tiek paredzēts arī veidot jaunu informācijas sistēmu, būtu norādāms gan pašas sistēmas nolūks, gan arī datu apstrādes tajā nolūks.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noteikumu projekta 22.3. apakšpunktā norādīts, ka tiks veikta personu datu apstrāde pētniecības nolūkā, kā arī datu subjekti un apstrādājamo datu veids (dati par sodāmību).  Inspekcija norāda, ka attiecībā uz minēto personu datu apstrādi nav saprotams, kāds ir tās tiesiskais pamats. Inspekcija norāda, ka gadījumā, ja tiesiskais pamats ir juridiskais pienākums vai uzdevums sabiedrības interesēs (Datu regulas 6. panta 1. punkta c) vai e) apakšpunkts), tad anotācijā būtu uz to jānorāda, papildus skaidrojot arī to, no kura ārējā normatīvā akta izriet šis juridiskais pienākums vai uzdevums veikt konkrēto datu apstrādi. Tāpat Inspekcija norāda, ka 22.3. apakšpunktā nav norādīts, vai dati tiks glabāti un kādā termiņā, kā arī –  vai dati tiks nodoti citām vienībām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Inspekcija norāda, ka noteikumu projekta anotācijā būtu jānorāda informācija par tiesisko pamatu datu apstrādei pētniecības nolūkā, kā arī pats noteikumu projekta 22.3. apakšpunkts būtu jāpapildina ar informāciju par datu glabāšanas termiņiem, ja dati tiks glabāti, kā arī vienībām, kam dati tiks nodoti, ja tas tiks darīts.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Analoģiskus iebildumus Inspekcija izsaka arī par 22.4. un 22.5. apakšpunktos paredzēto personu datu apstrādi.</w:t>
            </w:r>
            <w:r w:rsidR="00000000" w:rsidRPr="00000000" w:rsidDel="00000000">
              <w:rPr>
                <w:rtl w:val="0"/>
              </w:rPr>
              <w:t xml:space="preserve"> Inspekcija skaidro, ka, piemēram, no 22.4. apakšpunkta nav skaidri saprotams vai izsecināms nedz tiesiskais pamats, nedz arī skaidrs datu apstrādes nolūks. 22.4. punktā norādīts, ka tiks apstrādāti dati par horizontālā principa rādītājiem, bet nav saprotams – kādu datu subjektu dati, kādi datu veidi jeb kategorijas, vai dati tiks glabāti un cik ilgi, vai dati tiks kādam nodoti un kādā nolūkā. </w:t>
            </w:r>
            <w:r w:rsidR="00000000" w:rsidRPr="00000000" w:rsidDel="00000000">
              <w:rPr>
                <w:u w:val="single"/>
                <w:rtl w:val="0"/>
              </w:rPr>
              <w:t xml:space="preserve">Ievērojot minēto, Inspekcija aicina papildināt 22.4 punktu ar visu nepieciešamo informāciju par paredzēto personu datu apstrādi, tās nolūku un apmēru, kā arī anotācijā sniegt informāciju par tiesisko pamatu šai personu datu apstrādei. Tāpat Inspekcija aicina visu augstāk minēto informāciju sniegt arī par 22.5. apakšpunktā paredzēto personu datu apstrādi, tostarp veicot labojumus arī pašā 22.5.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Inspekcija norāda, ka, ņemot vērā anotācijā sniegto informāciju par to, ka personu dati tiks apstrādāti dažādās informācijas sistēmās, tostarp, ka plānots veidot arī jaunu informācijas sistēmu – Inspekcija lūdz, gadījumā, ja ar šo noteikumu projektu ir paredzēts veidot jaunas informācijas sistēmas vai veikt datu apstrādi jau esošās sistēmās, uz to norādīt pašā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finansējuma saņēmējam, veicot pētījumus, lai pilnveidotu resocializācijas sistēmas efektivitāti, analizējot esošos riska un vajadzību novērtēšanas instrumentus un īstenotās resocializācijas programmas, ir tiesības iegūt informāciju, t.sk. personas datus no Valsts probācijas dienesta par Valsts probācijas dienesta esošajiem un bijušajiem klientiem, kā arī informāciju, tajā skaitā personas datus no Iekšlietu ministrijas Informācijas centra par esošo un bijušo ieslodzīto sodāmībām;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22.3.apakšpunkts noteic, ka, īstenojot projektu, finansējuma saņēmējam, veicot pētījumus, lai pilnveidotu resocializācijas sistēmas efektivitāti, analizējot esošos riska un vajadzību novērtēšanas instrumentus un īstenotās resocializācijas programmas, ir tiesības iegūt informāciju, t.sk. personas datus no Valsts probācijas dienesta par Valsts probācijas dienesta esošajiem un bijušajiem klientiem, kā arī informāciju, tajā skaitā personas datus no Iekšlietu ministrijas Informācijas centra par esošo un bijušo ieslodzīto sodāmībām.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sākotnējas ietekmes novērtējuma ziņojumā ir norādīts: “Pētījumu veikšanā būtiska informācija ir par recidīvu. Minētā informācija ir Iekšlietu ministrijas Informācijas centra pārziņā esošajās informācijas sistēmās. Līdz ar to Ministru kabineta noteikumu projekts noteic IeVP tiesības pieprasīt informāciju par recidīvu Iekšlietu ministrijas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saskaņā ar Krimināllikuma 63.panta pirmo daļu sodāmība ir noziedzīgu nodarījumu izdarījušas personas notiesāšanas vai soda noteikšanas juridiskās sekas, kas ir spēkā tiesas vai prokurora priekšrakstā par sodu noteiktajā soda izciešanas laikā, kā arī pēc tam līdz sodāmības dzēšanai vai noņemšanai likumā noteiktajā kārtībā. Tādējādi projektā ietvertais regulējums neatbilst projekta sākotnējas ietekmes novērtējuma ziņojumā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kāda informācija un no kādām Iekšlietu ministrijas Informācijas centra pārziņā esošajām valsts informācijas sistēmām tiks iegūta.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nolūkos veiktai datu apstrādei ir jāpastāv atbilstošam nolūkam (mērķim), tiesiskajam pamatojumam, skaidri noteiktam atbildīgajam pārzinim, kā arī jāievēro datu apstrādes principi - likumīgums, godprātība un pārredzamība, nolūka ierobežojumi, datu minimizēšana, precizitāte, glabāšanas ierobežojums, integritāte un konfidencialitāte, pārskatatbildība.[1]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Iekšlietu ministrijas Informācijas centrs kā valsts informācijas sistēmas pārzinis ir atbildīgs par personas datu apstrādes atbilstību Datu regulai. Iekšlietu ministrijas Informācijas centram jābūt precīzi zināmam datu apjomam, ko būs jāsniedz (vai jādara pieejamu).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vai anotāciju, sniedzot informāciju par informācijas sistēmām, no kurām paredzēts iegūt datus, un datu apjomu, ko paredzēts iegūt.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https://www.dvi.gov.lv/lv/jaunums/dviskaidro-datu-apstrade petnieciskos-nolukos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anotācijas 1.3. punktā "Pašreizējā situācija, problēmas un risinājumi" sadaļā "Datu apstrāde".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veicot pētījumus, lai pilnveidotu resocializācijas sistēmas efektivitāti, analizējot esošos riska un vajadzību novērtēšanas instrumentus un īstenotās resocializācijas programmas, ir tiesības iegūt informāciju, t.sk. personas datus no Valsts probācijas dienesta par Valsts probācijas dienesta esošajiem un bijušajiem klientiem, kā arī informāciju, tajā skaitā personas datus no Iekšlietu ministrijas Informācijas centra par esošo un bijušo ieslodzīto sodāmībām;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(turpmāk - anotācija) tiek norādīts: “Pētījumu veikšanā būtiska informācija ir par recidīvu. Informācija par personu izdarītajiem noziedzīgajiem nodarījumiem ir </w:t>
            </w:r>
            <w:r w:rsidR="00000000" w:rsidRPr="00000000" w:rsidDel="00000000">
              <w:rPr>
                <w:u w:val="single"/>
                <w:rtl w:val="0"/>
              </w:rPr>
              <w:t xml:space="preserve">Iekšlietu ministrijas Informācijas centra pārziņā esošajās informācijas sistēmās</w:t>
            </w:r>
            <w:r w:rsidR="00000000" w:rsidRPr="00000000" w:rsidDel="00000000">
              <w:rPr>
                <w:rtl w:val="0"/>
              </w:rPr>
              <w:t xml:space="preserve">. Līdz ar to Ministru kabineta noteikumu projekts noteic IeVP tiesības pieprasīt informāciju par recidīvu personu izdarītajiem noziedzīgajiem nodarījumiem, ierosinātajiem kriminālprocesiem un sodiem   Iekšlietu ministrijas Informācijas centram. Attiecībā uz personas datu iegūšanu no Sodu reģistra, informējam, ka nolūks personas datu apstrādei ir veikt recidīva pētījumus. Pārvalde kvalitatīvu informāciju par personas sodāmībām var iegūt tikai no Sodu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 projekta anotācijas viennozīmīgi nav skaidrs, vai informācija tiks iegūta tikai no Sodu reģistra (un tikai par Krimināllikuma pantu, daļu un punktu, uz kura pamata persona notiesāta, kā arī piemēroto sodu un papildosodu) vai arī citām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anotāciju. Gadījumā, ja informācija tiks iegūta arī no citām Iekšlietu ministrijas Informācijas centra pārziņā esošajās informācijas sistēmām, lūdzu norādīt konkrētas informācijas sistēmas un datu apjomu, ko paredzēts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veikšanā būtiska informācija ir par recidīvu. Informācija par personu izdarītajiem noziedzīgajiem nodarījumiem ir Iekšlietu ministrijas Informācijas centra pārziņā esošajā valsts informācijas sistēmā - "Sodu reģistrs" (turpmāk - Sodu reģistrs). Līdz ar to Ministru kabineta noteikumu projekts noteic IeVP tiesības pieprasīt informāciju par recidīvu personu izdarītajiem noziedzīgajiem nodarījumiem, ierosinātajiem kriminālprocesiem un sodiem  no Sodu reģistra. Attiecībā uz personas datu iegūšanu no Sodu reģistra, informējam, ka nolūks personas datu apstrādei ir veikt recidīva pētījumus. IeVP kvalitatīvu informāciju par personas sodāmībām var iegūt tikai no Sodu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norādīt indikatīvo finansējuma apjomu un pasākumu skaitu 1.1.-1.7.atbalstāmajām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anotācijas sadaļā "Risinājuma apraksts".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"Problēmas apraksts" ar mērķa grupas personu skaitu un portretu, mērķa grupas daļu, uz kuru tiks vērstas esošā pasākuma atbalstāmās darbības un citu statistisko informāciju, kas raksturo situāciju ieslodzīto un bijušo ieslodzīto resocializācijas jomā (t.sk. cik personas saņēm atbalstu esošajā ES fondu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Lūdzam skatīt anotācijas sadaļu "Problēmas apraksts".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31. decembrī ieslodzījuma vietās atradās 3229 ieslodzītie (apcietinātie – 734, notiesātie – 2495). No kopējā ieslodzīto skaita ieslodzījuma vietās atradās 248 sievietes (apcietinātās – 38, notiesātās – 210), 23 nepilngadīgie (apcietinātie – 7, notiesātie – 16) un 70 ieslodzītie, kuri sodīti ar brīvības atņemšanu uz visu mūžu (apcietinātie – 3, notiesātie – 67). No 2495 notiesātajiem uz 2022. gada 31.decembri, 163 notiesātie bija ar īpašajām vajadzībām – 3 personas ar I invaliditātes grupu, 65 ar II invaliditātes grupu un 95 ar III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2014.-2020.gada plānošanas periodā, ESF projektos "Resocializācijas pasākumus un atbalstu saņēmušo ieslodzīto un bijušo ieslodzīto skaits" -  11 268 (uz 31.12.2022. dalības reizes, nevis unikālie dalībnieki).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ieslodzījuma vietās psiholoģisko aprūpi īstenoja 35 psihologi, kuri kopumā sniedza palīdzību 3536 ieslodzītajiem, no tiem 2689 notiesātajiem un 847 apcietinātajiem, tostarp veica šādas psiholoģiskās aprūpes aktivitātes: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- 11 215 individuālās konsultācijas;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- 406 krīzes intervences saistībā ar suicidālas uzvedības izpausmēm, konflikta situācijām, adaptācijas grūtībām, vardarbību utt. (160 apcietinātajām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- 380 psihodiagnostikas pasākumi, lai izpētītu ieslodzīto kognitīvos procesus, emocionālo sfēru un personības īpatnības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sagatavoti 423 psiholoģiskie atzinumi.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423 psiholoģiskajiem atzinumiem: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- 354 – saistībā ar suicidālas uzvedības riska pakāpes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- 69 – saistībā ar ieslodzītā personas īpatnību psiholoģisko izpēti.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sadaļu "Finansējuma saņēmējs" papildināt ar informāciju, vai pasākuma ietvaros tiek, vai netiek sniegts atbalsts saimnieciskai darbībai un attiecīgi komercdarbības atbalsts. Ņemot vērā informāciju, ka "IeVP ir TM padotībā esoša valsts pārvaldes iestāde, kas īsteno valsts politiku apcietinājuma kā drošības līdzekļa un brīvības atņemšanas kā kriminālsoda izpildes jomā", pirmsšķietami secināms, ka IeVP darbojas valsts funkciju ietvaros, un finansējums pasākuma ietvaros nav kvalificējams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4.3.4.7. pasākuma ietvaros netiek sniegts atbalsts saimnieciskai darbībai un attiecīgi komercdarbības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lielo rāmi nosaka Resocializācijas politikas Pamatnostādnes 2021. - 2027. gadam (turpmāk -Pamatnostādnes). Par Pamatnostādnēm, kā arī par Ministru kabineta noteikumiem NVO bija iespēja iztiekties sabiedrības līdzdalības laikā, līdz ar ko arī tādā veidā nodrošinot savu iesaisti MK noteikumu projekta izstrādē. Sabiedrības līdzdalības laikā viedokļi no NVO netika saņemti.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specifiskā atbalsta mērķa Nr. 4.3.4. "Sekmēt aktīvu iekļaušanu, lai veicinātu vienlīdzīgas iespējas, nediskriminēšanu un aktīvu līdzdalību, kā arī uzlabotu nodarbinātību, jo īpaši attiecībā uz nelabvēlīgā situācijā esošām grupām" 4.3.4.7. pasākuma "Nodarbināmības priekšnosacījumu nodrošināšana ieslodzītajiem, pilnveidojot resocializācijas sistēmas efektivitāti, vienlaikus sekmējot bijušo ieslodzīto iekļaušanos, vienlīdzīgas iespējas un aktīvu līdzdalību"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noteikumu projektā, anotācijā, kā arī MK protokollēmuma projektā ir norādīts korekts 4.3.4.7.pasākuma nosaukums. Vēršam uzmanību, ka patreiz Programmas papildinājumā 4.3.4.7.pasākuma nosaukums norādīts šādi: "</w:t>
            </w:r>
            <w:r w:rsidR="00000000" w:rsidRPr="00000000" w:rsidDel="00000000">
              <w:rPr>
                <w:rtl w:val="0"/>
              </w:rPr>
              <w:t xml:space="preserve">Nodarbināmības priekšnosacījumu nodrošināšana ieslodzītajiem, pilnveidojot resocializācijas sistēmas efektivitāti, </w:t>
            </w:r>
            <w:r w:rsidR="00000000" w:rsidRPr="00000000" w:rsidDel="00000000">
              <w:rPr>
                <w:b w:val="1"/>
                <w:rtl w:val="0"/>
              </w:rPr>
              <w:t xml:space="preserve">sekmējot </w:t>
            </w:r>
            <w:r w:rsidR="00000000" w:rsidRPr="00000000" w:rsidDel="00000000">
              <w:rPr>
                <w:rtl w:val="0"/>
              </w:rPr>
              <w:t xml:space="preserve">bijušo ieslodzīto iekļaušanos, vienlīdzīgas iespējas un aktīvu līdzdalību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projektu, anotāciju, kā arī MK noteikumu protokollēmuma projektu ar laboto 4.3.4.7. pasākuma nosaukumu.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4.3.4.7. "Nodarbināmības priekšnosacījumu nodrošināšana ieslodzītajiem, pilnveidojot resocializācijas sistēmas efektivitāti, sekmējot bijušo ieslodzīto iekļaušanos, vienlīdzīgas iespējas un aktīvu līdzdalību".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specifiskā atbalsta mērķa Nr. 4.3.4.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6. un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sēdes protokollēmumā (prot. Nr. 36 85. § 3. punkts)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projektu ar normu, kas paredz, ka finansējuma saņēmējs veic izmaksu un ieguvumu analīzi. Atbilstoši lūdzam papildināt arī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pievienoto skaidrojumu MK noteikumu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6. un 13.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un norādīt noteikumu projektā vai anotācijā iznākuma rādītāju apjomu, kāds tiks sasniegts par pieejamo finansējumu (bez elastības finansējuma), ja attiecināms[1]. Vienlaikus, lūdzam pārliecināties, ka vadošajai iestādei ir pieejama aktualizēts rādītāju metodoloģijas apraksts, tā - lai noteikumu projektā noteiktie rezultāta, iznākuma rādītāji neatšķiras no rādītāju metodoloģijas aprakstā noteiktajiem rādītājiem, vai </w:t>
            </w:r>
            <w:r w:rsidR="00000000" w:rsidRPr="00000000" w:rsidDel="00000000">
              <w:rPr>
                <w:b w:val="1"/>
                <w:rtl w:val="0"/>
              </w:rPr>
              <w:t xml:space="preserve">aprēķina metodoloģija un aprēķina principi atbilst noteikumu projektā noteiktajam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noteikumu projektā un anotācijā iekļautās informācijas ir jābūt skaidri saprotamam, kā Programmā noteiktie SAM rādītāji tiks sasniegti caur vairākiem pasākumiem. T.i. ir jāspēj secināt, vai vienu vai vairāku MK noteikumu par pasākumu/ atlases kārtu īstenošanu ietvaros skaitot kopā tiks nodrošināta SAM noteiktā sasniedzamā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Programmas papildinājumā attiecīgajā SAM, pasākumā ir plānots arī elastības finansējums un informācija SAM rādītāju metodoloģijas aprakstā liecina, ka sasniedzamā rādītāja apjomu ietekmē īstenošanai pieejamā finansējuma apjoms. Informācija par sasniedzamo rādītāja apjomu par pieejamo finansējumu (bez elastības finansējuma) var būt iekļauta arī SAM rādītāju metodoloģijas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Nr. 1.4. “Vadlīnijas Ministru kabineta noteikumu par specifiskā atbalsta mērķa īstenošanu izstrādei Eiropas Savienības fondu 2021.—2027. gada plānošanas periodā” kārtībai AI ir prasība norādīt rādītājus, kādus sasniegs par plānoto finansējumu (t.i. iesk. elastības finansējumu), līdz ar to kā obligāta prasība par sasniedzamo rādītāju apjoma norādīšanu MKN projektā vai anotācijā (bez elastības finansējuma) AI nav nosakāma.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Tieslietu ministrijas rīcībā esošā 4.3.4. SAM pasākuma rādītāju pase ar 18.10.2022. datumu, sakrīt ar VI rīcībā esošo 4.3.4. SAM rādītāju pasi, kas pēdējo reizi aktualizēta 16.03.2023.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pasākums tiks īstenots vienā kārtā un tās ietvaros tiks nodrošināta SAM noteiktās sasniedzamās vērtības sasniegšana.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nodrošina, ka tiek novērsta iespējamā investīciju pārklāšanās, savstarpēji papildinošu investīciju gadījumā novēršot dubultā finansējuma risku, vai vienas un tās pašas vai līdzīgas atbalstāmās darbības nav plānots finansēt no vairākiem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13.punktu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nepārklāšanās principu ar citiem valsts un ārvalstu finanšu atbalsta instrumentiem un dubultā finansējuma neiestāšanos." Vēršam uzmanību, ka termins "investīcijas" tiek lietots Atveseļošanas un noturības mehānisma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nepārklāšanās principu ar citiem valsts un ārvalstu finanšu atbalsta instrumentiem un dubultā finansējuma neiestāšanos.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nodrošina nepārklāšanās principu ar citiem valsts un ārvalstu finanšu atbalsta instrumentiem un dubultā finansējuma neiestāšanos.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projekta informatīvie un obligātās 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fondus regulējošos horizontālos normatīvos aktos un praksē lietoto jēdzienu "komunikācijas un vizuālās identitātes prasību nodrošināšana", aicinām izvērtēt un pēc nepieciešamības precizēt noteikumu projekta 14.10.apakšpunktu, 16.2.7.punktu un 22.1.apakšpunktu. Attiecīgu precizējumu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MK noteikumu projekta 14.10. apakšpunktā, 16.2.7. punktā, kā arī 22.1. apakšpunktā un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komunikācijas un vizuālās identitātes prasību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personāla atlīdzības izmaksas, kas ir projekta īstenošanas un vadības personāla atlīdzības izmaksas, tostarp veselības apdrošināšanas un redzes korekcijas līdzekļu kompensācijas izmaksas, šo noteikumu 14. punktā noteikto darbību īstenošanai. Izmaksas ir attiecināmas atbilstoši atbildīgās iestādes apstiprinātajai vienas vienības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"tostarp veselības apdrošināšanas un redzes korekcijas līdzekļu kompensācijas izmaksas", tā kā izmaksu tvērums ir noteikts VI vadlīnijās Nr. 1.2. "Vadlīnijas attiecināmo izmaksu noteikšanai Eiropas Savienības kohēzijas politikas programmas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piemērojot Regulā Nr. 2021/1060 noteikto iespēju metodikas ietvaros izstrādāt stundas likmi, kuras aprēķins balstīts uz 1720 h, izmantojamas darbaspēka bruto izmaksas, kurās apdrošināšanas izmaksas un redzes korekcijas līdzekļu kompensācijas izmaksas nav iekļaujamas.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izvērtēt iespēju veselības apdrošināšanas un redzes korekcijas līdzekļu kompensācijas izmaksas segt no netiešajām izmaksām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Regulā Nr. 2021/1060 noteiktā iespēja metodikas ietvaros izstrādāt stundas likmi, kuras aprēķins balstīts uz 1720 h, izmantojamas darbaspēka bruto izmaksas, kurās apdrošināšanas izmaksas un redzes korekcijas līdzekļu kompensācijas izmaksas nav iekļaujamas,</w:t>
            </w:r>
            <w:r w:rsidR="00000000" w:rsidRPr="00000000" w:rsidDel="00000000">
              <w:rPr>
                <w:u w:val="single"/>
                <w:rtl w:val="0"/>
              </w:rPr>
              <w:t xml:space="preserve"> nav attiecināma</w:t>
            </w:r>
            <w:r w:rsidR="00000000" w:rsidRPr="00000000" w:rsidDel="00000000">
              <w:rPr>
                <w:rtl w:val="0"/>
              </w:rPr>
              <w:t xml:space="preserve"> uz IeVP projektu un izstrādāto Metodiku. Skaidrojam, ka šādu prasību nosaka Metodikā, kurā ir paredzēta stundas likme, kā to arī paredz Regulas 55. panta 2. punkts. Vienlaikus skaidrojam, ka </w:t>
            </w:r>
            <w:r w:rsidR="00000000" w:rsidRPr="00000000" w:rsidDel="00000000">
              <w:rPr>
                <w:u w:val="single"/>
                <w:rtl w:val="0"/>
              </w:rPr>
              <w:t xml:space="preserve">IeVP izstrādātajā Metodikā ir paredzēta mēneša likme, nevis stundas likme.</w:t>
            </w:r>
            <w:r w:rsidR="00000000" w:rsidRPr="00000000" w:rsidDel="00000000">
              <w:rPr>
                <w:rtl w:val="0"/>
              </w:rPr>
              <w:t xml:space="preserve"> Atbilstoši Metodikā noteiktajai likmei - "nostrādāto mēnešu skaits", aprēķins Metodikā tiek veikts saskaņā ar Regulas 53.panta 3. punktu, līdz ar to veselības apdrošināšanas un redzes korekcijas līdzekļu izmaksas </w:t>
            </w:r>
            <w:r w:rsidR="00000000" w:rsidRPr="00000000" w:rsidDel="00000000">
              <w:rPr>
                <w:u w:val="single"/>
                <w:rtl w:val="0"/>
              </w:rPr>
              <w:t xml:space="preserve">ir iekļaujamas tiešajās izmaksās.</w:t>
            </w:r>
            <w:r w:rsidR="00000000" w:rsidRPr="00000000" w:rsidDel="00000000">
              <w:rPr>
                <w:rtl w:val="0"/>
              </w:rPr>
              <w:t xml:space="preserve"> Ņemot vērā iepriekš minēto, Finanšu ministrijas izteiktais ieteikums par veselības apdrošināšanas un redzes korekcijas līdzekļu izmaksu segšanu no netiešajām izmaksām netiek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veselības pārbaužu izmaksām, kuras iepriekš tika dzēstas no 16.1. punkta, lūdzam skatīt papildināto MK noteikumu projekta 16.2.3.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personāla atlīdzības izmaksas, kas ir projekta īstenošanas un vadības personāla izmaksas, šo noteikumu 14. punktā noteikto darbību īstenošanai. Izmaksas ir attiecināmas atbilstoši atbildīgās iestādes apstiprinātajai vienas vienības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personāla atlīdzības izmaksas, kas ir projekta īstenošanas un vadības personāla atlīdzības izmaksas, tostarp veselības apdrošināšanas, veselības pārbaužu un redzes korekcijas līdzekļu kompensācijas izmaksas, šo noteikumu 14. punktā noteikto darbību īstenošanai. Izmaksas ir attiecināmas atbilstoši atbildīgās iestādes apstiprinātajai vienas vienības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MK noteikumu 16.1.apakšpunktā minēto vienkāršoto izmaksu metodiku plānots apstiprināt līdz projektu iesniegumu atlases izsludināšanai. Gadījumā, ja līdz projektu iesniegumu atlases izsludināšanai vienkāršoto izmaksu metodika nebūs apstiprināta, projekta iesniegumu atlasē netiks veikta personāla atlīdzības izmaksu apmēra pamatotības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anotācijas 1.3. sadaļā "Pašreizējā situācija, problēmas un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Vienkāršoto izmaksu metodiku ir plānots apstiprināt līdz projektu iesniegumu atlases apstiprināšanai.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personāla atlīdzības izmaksas, kas ir projekta īstenošanas un vadības personāla izmaksas, šo noteikumu 14. punktā noteikto darbību īstenošanai. Izmaksas ir attiecināmas atbilstoši atbildīgās iestādes apstiprinātajai vienas vienības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16.2.2.2. 16.2.2.2. ārvalstu komandējumu izmaksas, tai skaitā projekta vadītājam un projekta īstenošanas personālam šo noteikumu 14.1., 14.2., 14.3., 14.4., 14.6. un 14.9. apakšpunktā minēto atbalstāmo darbību īstenošanai. Ārvalstu komandējumu izmaksas aprēķina un atlīdzina atbilstoši normatīvajiem aktiem par kārtību,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16.2.2.2. apakšpunktā dzēst vārdu savienojumu "tai skaitā" un veikt tehisku precizējumu, dzēšot divreiz ievadīto apakšpunkta kārtas skaitli "16.2.2.2.".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16.2.2.2. ārvalstu komandējumu izmaksas projekta vadītājam un projekta īstenošanas personālam šo noteikumu 14.1., 14.2., 14.3., 14.4., 14.6. un 14.9. apakšpunktā minēto atbalstāmo darbību īstenošanai. Ārvalstu komandējumu izmaksas aprēķina un atlīdzina atbilstoši normatīvajiem aktiem par kārtību,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veselības pārbaužu izmaksas, ja tās nesedz veselības apdrošināšana, darba vietas aprīkojuma iegādes vai nomas izmaksas ir attiecināmas projekta vadības un projekta īstenošanas personālam jaunu darba vietu radīšanai vai gadījumos, ja esošo darba vietu aprīkojums ir nolietojies un tiek norakstīts, uzturēšanai un remontam ne vairāk kā 3000 euro apmērā vienai darba vietai visā projekta īstenošanas laikā (ja projekta vadības un projekta īstenošanas personāls ir nodarbināts pilnu darba laiku, veselības pārbaužu izmaksas, ja tās nesedz veselības apdrošināšana, darba vietas aprīkojuma iegādes vai nomas izmaksas ir attiecināmas 100 procentu apmērā, bet nepilna darba laika gadījumā – ņemot vērā attiecīgā darba laika proporciju. Savukārt, daļlaika izmaksu attiecināšanas principa gadījumā jāņem vērā darbinieka iesaistes periods projektā pret projekta kopējo īstenošanas ilgumu un daļlaika proporcija darbam projektā šo noteikumu 14.9. apakšpunktā minēto atbalstāmo darbību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16.2.3.punkts ir papildināts ar veselības pārbaužu izmaksām, līdz ar to pēdējais teikums par daļlaika izmaksu attiecināšanas principiem attiecas gan uz darba vietām, gan uz veselības pārbaudēm. Veselības pārbaužu gadījumā būtu jāņem vērā tikai daļlaika proporcija, nevis darbinieka iesaistes periods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šādas izmaksas būs tikai izņēmuma gadījumos (piemēram, jauns darbinieks, kuram vēl nav apdrošināšanas, bet jāveic veselības pārbaude) un summas būs nelielas (~40-50 EUR/ pārbaude) un tās būs grūti pārbaudāmas (jāpārbauda ir vai nav  veselības apdrošināšana un ko tā sedz),</w:t>
            </w:r>
            <w:r w:rsidR="00000000" w:rsidRPr="00000000" w:rsidDel="00000000">
              <w:rPr>
                <w:u w:val="single"/>
                <w:rtl w:val="0"/>
              </w:rPr>
              <w:t xml:space="preserve"> ierosinām svītrot veselības pārbaužu izmaksas un tās segt no netiešajām izmaksām</w:t>
            </w:r>
            <w:r w:rsidR="00000000" w:rsidRPr="00000000" w:rsidDel="00000000">
              <w:rPr>
                <w:rtl w:val="0"/>
              </w:rPr>
              <w:t xml:space="preserve"> vai nodalīt atsevišķos punktos veselības pārbaužu un darba vietas aprīkojumu izmaksu attiecināšanas nosacījumus, ņemot vērā, ka tie ir atšķirīgi.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16.2.3.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darba vietas aprīkojuma iegādes vai nomas izmaksas ir attiecināmas projekta vadības un projekta īstenošanas personālam jaunu darba vietu radīšanai vai gadījumos, ja esošo darba vietu aprīkojums ir nolietojies un tiek norakstīts, uzturēšanai un remontam ne vairāk kā 3000 euro apmērā vienai darba vietai visā projekta īstenošanas laikā (ja projekta vadības un projekta īstenošanas personāls ir nodarbināts pilnu darba laiku, darba vietas aprīkojuma iegādes vai nomas izmaksas ir attiecināmas 100 procentu apmērā, bet nepilna darba laika gadījumā – ņemot vērā attiecīgā darba laika proporciju. Savukārt, daļlaika izmaksu attiecināšanas principa gadījumā jāņem vērā darbinieka iesaistes periods projektā pret projekta kopējo īstenošanas ilgumu un daļlaika proporcija darbam projektā šo noteikumu 14.9. apakšpunktā minēto atbalstāmo darbību īstenošanai).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transporta izmaksas šo noteikumu 14. punktā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2021.–2027.gadam īstenošanai, izņemot šo noteikumu 14.7. un 14.8. apakšpunktā minēto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"transporta </w:t>
            </w:r>
            <w:r w:rsidR="00000000" w:rsidRPr="00000000" w:rsidDel="00000000">
              <w:rPr>
                <w:b w:val="1"/>
                <w:u w:val="single"/>
                <w:rtl w:val="0"/>
              </w:rPr>
              <w:t xml:space="preserve">pakalpojumu </w:t>
            </w:r>
            <w:r w:rsidR="00000000" w:rsidRPr="00000000" w:rsidDel="00000000">
              <w:rPr>
                <w:rtl w:val="0"/>
              </w:rPr>
              <w:t xml:space="preserve">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arī darba braucienos, kas saistīti ar projekta ieviešanu un atbalstāmo darbību īstenošanu, tiek izmantoti dienesta auto un personīgie auto, kas pēc būtības nav kāda transporta pakalpojuma izmantošana, piemēram, taksometra vai sabiedriskā transporta, un, lai nesašaurinātu projekta īstenošanas vajadzībām izmantojamā transporta veidus, aicinām tomēr saglabāt pašreizējo noteikumu projekta 16.2.4. apakšpunkta redakciju. Vēršam uzmanību, ka arī vadošās iestādes izstrādātajā "Vienas vienības izmaksu standarta likmes aprēķina un piemērošanas metodika 1 km izmaksām darbības programmas “Izaugsme un nodarbinātība” un Eiropas Savienības kohēzijas politikas programmas 2021.–2027.gadam īstenošanai 2.punktā ir noteiktas atbalstāmās izmaksas privātā, darba un sabiedriskā auto izmantošanā.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transporta izmaksas šo noteikumu 14. punktā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2021.–2027.gadam īstenošanai, izņemot šo noteikumu 14.7., 14.8. un 14.10. apakšpunktā minēto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transporta izmaksas šo noteikumu 14. punktā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2021.–2027.gadam īstenošanai, izņemot šo noteikumu 14.7. un 14.8. apakšpunktā minēto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16.2.4. apakšpunktā norādīto apakšpunktu uzskaitījumu, uz kurām nav attiecināmas 16.2.4. apakšpunktā norādītās attiecināmās izmaksas,  ar 14.10.apakšpunktu.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MK noteikumu projekta 16.2.4.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transporta izmaksas šo noteikumu 14. punktā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2021.–2027.gadam īstenošanai, izņemot šo noteikumu 14.7., 14.8. un 14.10. apakšpunktā minēto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16.2.5. telpu, materiāltehnisko līdzekļu un aprīkojuma īres vai nomas izmaksas šo noteikumu 14.punktā minēto atbalstāmo darbību īstenošanai, izņemot šo noteikumu 14.2., 14.5., 14.7., 14.8. un 14.9. apakšpunktā minēto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minētajām izmaksām izstrādāt vienas vienības izmaksu metodiku, kā arī iespējams izstrādāt vienas vienības izmaksu metodiku 16.2.6. apakšpunktā noteiktajām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"Pašreizējā situācija, problēmas un risinājumi" jau ir iekļauta informācija par Vienas vienības izmaksu metodikām, kas tiks izmantotas projekta īstenošanā. Citu vienas vienības izmaksu metodiku izstrāde atbildīgajā iestādē nav paredzēta, ņemot vērā to, ka (1) ieslodzītajiem, ir nepieciešami dažāda veida un ilguma resocializācijas pasākumi: būs ieslodzītie, kuriem pietiek tikai ar konsultācijām, būs ieslodzītie, kuriem ir nepieciešama izglītojošā programma, bet citiem ieslodzītajiem būs nepieciešams iziet kompleksu resocializācijas kursu, (2) savukārt apmācības darbinieku pilnveidei ir dažādas, ar atšķirīgu izpildes ilgumu, kā arī personu skaitu, līdz ar ko atšķirīgām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16.2.5. telpu, materiāltehnisko līdzekļu un aprīkojuma īres vai nomas izmaksas šo noteikumu 14.punktā minēto atbalstāmo darbību īstenošanai, izņemot šo noteikumu 14.2., 14.5., 14.7., 14.8., 14.9. un 14.10. apakšpunktā minēto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16.2.5. telpu, materiāltehnisko līdzekļu un aprīkojuma īres vai nomas izmaksas šo noteikumu 14.punktā minēto atbalstāmo darbību īstenošanai, izņemot šo noteikumu 14.2., 14.5., 14.7., 14.8. un 14.9. apakšpunktā minēto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16.2.5.apakšpunktā norādīto apakšpunktu uzskaitījumu, uz kurām nav attiecināmas 16.2.5. apakšpunktā norādītās attiecināmās izmaksas,  ar 14.10.apakšpunktu.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16.2.5.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16.2.5. telpu, materiāltehnisko līdzekļu un aprīkojuma īres vai nomas izmaksas šo noteikumu 14.punktā minēto atbalstāmo darbību īstenošanai, izņemot šo noteikumu 14.2., 14.5., 14.7., 14.8., 14.9. un 14.10. apakšpunktā minēto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16.2.6. grāmatu, izglītojošu materiālu, iekārtu un inventāra, tai skaitā palīgmateriālu, izmaksas no 50 līdz 500 euro par vienību šo noteikumu 14. punktā minēto atbalstāmo darbību īstenošanai, izņemot šo noteikumu 14.7., 14.8. un 14.9. apakšpunktā minēto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16.2.6.. apakšpunktā norādīto apakšpunktu uzskaitījumu, uz kurām nav attiecināmas 16.2.6. apakšpunktā norādītās attiecināmās izmaksas,  ar 14.10.apakšpunktu.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16.2.6.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16.2.6. grāmatu, izglītojošu materiālu, iekārtu un inventāra, tai skaitā palīgmateriālu, izmaksas no 50 līdz 500 euro par vienību šo noteikumu 14. punktā minēto atbalstāmo darbību īstenošanai, izņemot šo noteikumu 14.7., 14.8., 14.9. un 14.10. apakšpunktā minēto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16.2.7. komunikācijas un vizuālās identitātes prasību nodrošināšanas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47. un 50. pantam un kārtībai, kādā Eiropas Savienības fondu vadībā iesaistītās institūcijas nodrošina šo fondu ieviešanu 2021.–2027.gada plānošanas periodā, kā arī  Eiropas Savienības fondu 2021.–2027. gada plānošanas perioda un Atveseļošanas fonda komunikācijas un dizaina vadlīnijām šo noteikumu 14.10.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16.2.7. apakšpunktā minētie normatīvie akti un vadlīnijas neietver regulējumu par komunikācijas un vizuālās identitātes prasību nodrošināšanu, kā arī finansējuma saņēmēja pienākumu nodrošināt komunikācijas un vizuālās identitātes prasības atbilstoši konkrētajiem dokumentiem ietver jau noteikumu projekta 22.1. apakšpunkts, lūdzam svītrot noteikumu projekta 16.2.7. apakšpunktā norādes uz attiecīgajiem normatīvajiem aktiem un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16.2.7.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16.2.7. komunikācijas un vizuālās identitātes prasību nodrošināšanas izmaksas atbilstoši šo noteikumu 14.10.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16.2.8. materiāltehniskā nodrošinājuma iegādes izmaksas šo noteikumu 14. punktā minēto atbalstāmo darbību, izņemot šo noteikumu 14.2., 14.7. un 14.9. apakšpunktā minēto darbību īstenošanai, ja iegāde ir izdevīgāka nekā materiāltehniskā nodrošinājuma īres vai nomas izmaksas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16.2.8.apakšpunktā norādīto apakšpunktu uzskaitījumu, uz kurām nav attiecināmas 16.2.8. apakšpunktā norādītās attiecināmās izmaksas,  ar 14.10.apakšpunktu.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16.2.8.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16.2.8. materiāltehniskā nodrošinājuma, pamatlīdzekļu iegādes izmaksas šo noteikumu 14. punktā minēto atbalstāmo darbību, izņemot šo noteikumu 14.2., 14.7., 14.9., 14.10. apakšpunktā minēto darbību īstenošanai, ja iegāde ir izdevīgāka nekā materiāltehniskā nodrošinājuma īres vai nomas izmaksas projekta īstenošanas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16.2.8. materiāltehniskā nodrošinājuma iegādes izmaksas šo noteikumu 14. punktā minēto atbalstāmo darbību, izņemot šo noteikumu 14.2., 14.7. un 14.9. apakšpunktā minēto darbību īstenošanai, ja iegāde ir izdevīgāka nekā materiāltehniskā nodrošinājuma īres vai nomas izmaksas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16.2.8. apakšpunktā minēto materiāltehnisko  nodrošinājumu precizēt vai papildināt, lai ir skaidri saprotams, ka ar materiāltehniskā nodrošinājuma iegādi tiek saprasta pamatlīdzekļu iegāde. Ņemot vērā, ka šo noteikumu 22.8. apakšpunkts nosaka, ka 16.2.8. apakšpunktā minētajiem materiāltehniskajiem līdzekļiem ir piemērojamas pamatlīdzekļu nolietojuma normas, ar materiāltehnisko nodrošinājumu 16.2.8. apakšpunktā ir saprotama pamatlīdzekļu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16.2.8.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16.2.8. materiāltehniskā nodrošinājuma, pamatlīdzekļu iegādes izmaksas šo noteikumu 14. punktā minēto atbalstāmo darbību, izņemot šo noteikumu 14.2., 14.7., 14.9., 14.10. apakšpunktā minēto darbību īstenošanai, ja iegāde ir izdevīgāka nekā materiāltehniskā nodrošinājuma īres vai nomas izmaksas projekta īstenošanas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projekta īstenošanas laikā atbildīgā iestāde un vadošā iestāde izstrādā horizontālo vienas vienības standarta likmes metodiku kādām no šo noteikumu 16. punktā minētajām izmaksām, tām piemēro atbildīgās iestādes un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aizstāt vārdus "vienas vienības standarta likmes metodiku" ar "vienkāršoto izmaksu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19. punktu. Attiecīgi precizējumi veikti arī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projekta īstenošanas laikā vadošā iestāde izstrādā horizontālo vienkāršoto izmaksu metodiku vai atbildīgā iestāde izstrādā metodiku kādām no šo noteikumu 16.2. apakšpunktā minētajām izmaksām, tām piemēro vadošās vai atbildīgās iestādes izstrādāto metodiku.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iesnieguma vērtēšanā piedalās divi atbildīgās iestādes pārstāvji, viens Labklājības ministrijas pārstāvis, viens Tieslietu ministrijas pārstāvis un sadarbības iestādes pārstāvji, bet vadošās iestādes pārstāvis nepieciešamības gadījumā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21.punktu, norādot, vai Tieslietu ministrijas pārstāvis piedalīsies kā nozares ministrijas pārstāvis. Papildus lūdzam norādīt, cik sadarbības iestādes pārstāvju piedalīsies.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neierobežotu sadarbības iestādes pārstāvju skaitu projekta iesnieguma vērtēšanas komisijā, kas katrā gadījumā varētu tikt noteikts individuāli izvērtējot situāciju, sadarbības iestādes pārstāvju skaits MK noteikumu projektā netiek norādīts.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iesnieguma vērtēšanā piedalās divi atbildīgās iestādes pārstāvji, viens Labklājības ministrijas pārstāvis, viens Tieslietu ministrijas pārstāvis, kā nozares pārstāvis un sadarbības iestādes pārstāvji, bet vadošās iestādes pārstāvis nepieciešamības gadījumā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iesnieguma vērtēšanā piedalās divi atbildīgās iestādes pārstāvji, viens Labklājības ministrijas pārstāvis, viens Tieslietu ministrijas pārstāvis un sadarbības iestādes pārstāvji, bet vadošās iestādes pārstāvis nepieciešamības gadījumā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dzēst noteikumu projekta 21. punktu, ņemot vērā, ka vērtēšanas komisijas sastāvs ir noteikts Eiropas Savienības fondu 2021.—2027. gada plānošanas perioda vadības likuma 21.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iesnieguma vērtēšanas komisijā ir paredzēti vairāki pārstāvji, atbilstoši projekta specifikai un saturam, savukārt ES fondu 21-27 vadības likuma 21.pants paredz šaurāku projekta iesnieguma vērtētāju loku, nekā pie projekta iesnieguma vērtēšanai būtu nepieciešams.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iesnieguma vērtēšanā piedalās divi atbildīgās iestādes pārstāvji, viens Labklājības ministrijas pārstāvis, viens Tieslietu ministrijas pārstāvis, kā nozares pārstāvis un sadarbības iestādes pārstāvji, bet vadošās iestādes pārstāvis nepieciešamības gadījumā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izstrādā nosacījumus, kā tas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 Kā arī, aicinām noteikumos iekļauj prasību, ka finansējuma saņēmējs paraksta interešu konflikta neesamības apliecinājumu. Vēršam uzmanību, ka apliecinājumā obligāti ietver atsauci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MK noteikumu projekta 22. punktu ar pievienotu jaunu 22.9.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Finansējuma saņēmējs izstrādā kārtību, kā pārliecinās par interešu konflikta, krāpšanas un korupcijas risku neesamību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noteikto) un izstrādā apliecinājumu par interešu konflikta neesamību, kuru paraksta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nodrošina informācijas un publicitātes pasākumus saskaņā ar Regulas Nr. 2021/1060 47. pantu un 50. pantu un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arī ar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22.1.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nodrošina komunikācijas un vizuālās identitātes prasību nodrošināšanu saskaņā ar Regulas Nr.2021/1060 47. pantu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uzkrāj informāciju par atbalstu saņēmušām šo noteikumu 3. punktā minētajām personām atbilstoši Eiropas Parlamenta un Padomes 2021. gada 24. jūnija Regulas (ES) Nr. 2021/1057, ar ko izveido Eiropas Sociālo fondu Plus (ESF+) un atceļ Regulu (ES) Nr. 1296/2013 1. pielikumam un reizi gadā iesniedz sadarbības iestādē apkopotus datus par ESF+ kopējiem tūlītējiem rezultāta rādītājiem saskaņā ar normatīvajiem aktiem, kas nosaka Eiropas Savienības fondu projektu pārbaužu veikšanas kārtību 2021.–2027. gada plānošanas periodā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2022.gada 13.decembra protokollēmuma Nr. 64 6. § 3. punktā minēto, lūgums sniegt skaidrojumu, nepieciešamības gadījumā papildinot noteikumu projektu, kā finansējuma saņēmējs pārbaudīs mērķa grupas dalībnieka atbilstību dalībai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anotācijā pie sadaļas "Pasākuma darbību mērķa grupas".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dalībnieku atbilstība dalībai projektā tiks apstiprināta, konstatējot, ka persona ir ieslodzītais*, ģimenes loceklis vai atbalsta persona, Ieslodzījuma vietu pārvaldes nodarbinātais vai brīvprātīgais, vai persona, kuras kuru darbības joma ir saistīta ar kriminālsodu izpildi, kriminālsodu izpildes politikas plānošanu, iekļaušanās veicināšanu, palīdzības un atbalsta sniegšanu ieslodzītajiem, bijušajiem ieslodzītajiem un viņu ģimenes locekļiem un atbalsta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 informācijas sistēmā tiks pārbaudīts vai ieslodzītajam ir statuss apcietinātais/notiesātais.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uzkrāj informāciju par atbalstu saņēmušām šo noteikumu 3.1. un 3.2. apakšpunktos minētajām personām atbilstoši Eiropas Parlamenta un Padomes 2021. gada 24. jūnija Regulas (ES) Nr. 2021/1057, ar ko izveido Eiropas Sociālo fondu Plus (ESF+) un atceļ Regulu (ES) Nr. 1296/2013 1. pielikumam un reizi gadā iesniedz sadarbības iestādē apkopotus datus par ESF+ kopējiem tūlītējiem rezultāta rādītājiem saskaņā ar Ministru kabineta 2023. gada 21. marta noteikumu Nr. 135 "Eiropas Savienības fondu projektu pārbaužu veikšanas kārtība 2021.–2027. gada plānošanas periodā" 1.pielikumu. Dati tiek uzglabāti vienošanās par projekta īstenošanu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uzkrāj informāciju par atbalstu saņēmušām šo noteikumu 3. punktā minētajām personām atbilstoši Eiropas Parlamenta un Padomes 2021. gada 24. jūnija Regulas (ES) Nr. 2021/1057, ar ko izveido Eiropas Sociālo fondu Plus (ESF+) un atceļ Regulu (ES) Nr. 1296/2013 1. pielikumam un reizi gadā iesniedz sadarbības iestādē apkopotus datus par ESF+ kopējiem tūlītējiem rezultāta rādītājiem saskaņā ar normatīvajiem aktiem, kas nosaka Eiropas Savienības fondu projektu pārbaužu veikšanas kārtību 2021.–2027. gada plānošanas periodā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noteikumu atsevišķā punktā izdalīt, kuru šo MK noteikumu 14.punktā minēto darbību ietvaros iesaistītie mērķa grupas dalībnieki tiks iekļauti šo noteikumu 4.1.2. un 4.2.2.apakšpunktā norādītajā iznākuma rādītājā.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22.5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šo noteikumu 4.1.2. un 4.2.2. apakšpunktos norādītajā iznākuma rādītājā iekļauj šo noteikumu 14.1. un 14.3. apakšpunktā minētajās projekta darbībās iesaistītos dalībniekus (ieslodzītos, viņu ģimenes locekļus un atbalsta personas). Dati tiek uzglabāti atbilstoši termiņam, ko nosaka vienošanās par projekta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uzkrāj informāciju par atbalstu saņēmušām šo noteikumu 3.1. un 3.2. apakšpunktos minētajām personām atbilstoši Eiropas Parlamenta un Padomes 2021. gada 24. jūnija Regulas (ES) Nr. 2021/1057, ar ko izveido Eiropas Sociālo fondu Plus (ESF+) un atceļ Regulu (ES) Nr. 1296/2013 1. pielikumam un reizi gadā iesniedz sadarbības iestādē apkopotus datus par ESF+ kopējiem tūlītējiem rezultāta rādītājiem saskaņā ar Ministru kabineta 2023. gada 21. marta noteikumu Nr. 135 "Eiropas Savienības fondu projektu pārbaužu veikšanas kārtība 2021.–2027. gada plānošanas periodā" 1.pielikumu. Dati tiek uzglabāti vienošanās par projekta īstenošanu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finansējuma saņēmējam, veicot pētījumus, lai pilnveidotu resocializācijas sistēmas efektivitāti, analizējot esošos riska un vajadzību novērtēšanas instrumentus un īstenotās resocializācijas programmas, ir tiesības iegūt informāciju, t.sk. personas datus no Valsts probācijas dienesta par Valsts probācijas dienesta esošajiem un bijušajiem klientiem, kā arī informāciju, tajā skaitā personas datus no Iekšlietu ministrijas Informācijas centra par esošo un bijušo ieslodzīto sodāmībām;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"finansējuma saņēmējs" , ņemot vērā, ka dublē 22. punkta sākumu.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22.3.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veicot pētījumus, lai pilnveidotu resocializācijas sistēmas efektivitāti, analizējot esošos riska un vajadzību novērtēšanas instrumentus un īstenotās resocializācijas programmas, ir tiesības iegūt informāciju, t.sk. personas datus no Valsts probācijas dienesta par Valsts probācijas dienesta esošajiem un bijušajiem klientiem, kā arī informāciju, tajā skaitā personas datus no Iekšlietu ministrijas Informācijas centra par esošo un bijušo ieslodzīto sodāmībām;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nodrošina horizontālā principa "Vienlīdzība, iekļaušana, nediskriminācija un pamattiesību ievērošana" vispārīgas un specifiskas darbības, kas veicina vienlīdzību, iekļaušanu, nediskrimināciju un pamattiesību ievērošanu, īpaši saistībā ar resocializācijas darba un resocializācijas pakalpojumu sniegšanas jomā strādājošo izpratnes un informētības paaugstināšanas pasākumu īstenošanu par nediskrimināciju pēc invaliditātes, vecuma, dzimuma, etniskās piederības u.c. pazīmēm, vienlīdzīgu iespēju principu ievērošanu, tostarp apstrādā datus par horizontālā principa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šī punkta izpratnei, aicinām izvērtēt nepieciešamību redakcionāli precizēt, ko nozīmē datu apstrāde un izteikt punkta beigas, piemēram, šādā redakcijā: "[...], tostarp uzkrāj datus par horizontālā principa rādītājiem un ziņo tos sadarbības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22.4.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nodrošina horizontālā principa "Vienlīdzība, iekļaušana, nediskriminācija un pamattiesību ievērošana" vispārīgas un specifiskas darbības, kas veicina vienlīdzību, iekļaušanu, nediskrimināciju un pamattiesību ievērošanu, īpaši saistībā ar resocializācijas darba un resocializācijas pakalpojumu sniegšanas jomā strādājošo izpratnes un informētības paaugstināšanas pasākumu īstenošanu par nediskrimināciju pēc invaliditātes, vecuma, dzimuma, etniskās piederības u.c. pazīmēm, vienlīdzīgu iespēju principu ievērošanu, tostarp uzkrāj datus par horizontālā principa rādītājiem un ziņo tos sadarbības iestādei;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nodrošina, ka projekta īstenošanas laikā tiks nodrošināta "Nenodarīt būtisku kaitējumu" principa ievērošana, paredzot atbilstošas prasības līgumos ar piegādātājiem un pakalpojumu sniedzējiem (kur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vārdus "projekta iesniedzējs" uz vārdiem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27.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nodrošina, ka projekta īstenošanas laikā tiks nodrošināta "Nenodarīt būtisku kaitējumu" principa ievērošana, paredzot atbilstošas prasības līgumos ar piegādātājiem un pakalpojumu sniedzējiem (kur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anotācijas 1.3.sadaļas rindkopā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atlīdzības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atlīdzības izmaksām tiks piemērota vienkāršoto izmaksu metodika, kuru apstiprinās atbildīgā iestāde pēc Finanšu ministrijas saskaņojuma. Metodika tiks piemērota ar atbildīgās iestādes metodikas apstiprināšanas brīdi.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metodiku plānots apstiprināt līdz projektu iesniegumu atlases izsludināšanai. Gadījumā, ja līdz projektu iesniegumu atlases izsludināšanai vienkāršoto izmaksu metodika nebūs apstiprināta, projekta iesniegumu atlasē netiks veikta personāla atlīdzības izmaksu apmēra pamatotības analīze. " precizēt "Personāla atlīdzības izmaksas " uz "personāla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norādīto, ka iepriekš izteiktais priekšlikums ņemts vērā, lūdzam anotācijā sadaļas "Projekta īstenošanai tiks piemērotas šādas vienkāršotās izmaksas:" 3.punktā precizēt atbilstoši izziņā norādītajam "un citas vadošās vai atbildīgās iestādes vienkāršoto izmaksu metodikas, kas tiks izstrādātas projekta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anotācijas sadaļā "Projekta īstenošanai tiks piemērotas šādas vienkāršotās izmaksas:" 3.punktā.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norādot  vai plānotajām investīcijām būs tieša, netieša, vai nebūs ietekmes uz horizontālajiem principiem: “Vienlīdzība, iekļaušana, nediskriminācija un pamattiesību ievērošana”; “Klimatdrošināšana”; “Energoefektivitāte pirmajā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punkta "1.3. Pašreizējā situācija, problēmas un risinājumi", sadaļu “8.2. Cita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4.3.4.7. pasākumam nav ietekmes uz horizontālajiem principiem "Klimatdrošināšana", "Energoefektivitāte pirmajā vietā", "Nenodarīt būtisku kaitējumu".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anotācijas sadaļas "Projekta īstenošanai tiks piemērotas šādas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2.punktā par netiešajām izmaksām precizēt, ka likme rēķināma no plānotajām personāla </w:t>
            </w:r>
            <w:r w:rsidR="00000000" w:rsidRPr="00000000" w:rsidDel="00000000">
              <w:rPr>
                <w:b w:val="1"/>
                <w:u w:val="single"/>
                <w:rtl w:val="0"/>
              </w:rPr>
              <w:t xml:space="preserve">atlīdzības </w:t>
            </w:r>
            <w:r w:rsidR="00000000" w:rsidRPr="00000000" w:rsidDel="00000000">
              <w:rPr>
                <w:rtl w:val="0"/>
              </w:rPr>
              <w:t xml:space="preserve">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3.punktā precizēt teikuma beigas šādā redakcijā "un citas vadošās</w:t>
            </w:r>
            <w:r w:rsidR="00000000" w:rsidRPr="00000000" w:rsidDel="00000000">
              <w:rPr>
                <w:b w:val="1"/>
                <w:rtl w:val="0"/>
              </w:rPr>
              <w:t xml:space="preserve"> </w:t>
            </w:r>
            <w:r w:rsidR="00000000" w:rsidRPr="00000000" w:rsidDel="00000000">
              <w:rPr>
                <w:b w:val="1"/>
                <w:u w:val="single"/>
                <w:rtl w:val="0"/>
              </w:rPr>
              <w:t xml:space="preserve">vai atbildīgās</w:t>
            </w:r>
            <w:r w:rsidR="00000000" w:rsidRPr="00000000" w:rsidDel="00000000">
              <w:rPr>
                <w:rtl w:val="0"/>
              </w:rPr>
              <w:t xml:space="preserve"> iestādes </w:t>
            </w:r>
            <w:r w:rsidR="00000000" w:rsidRPr="00000000" w:rsidDel="00000000">
              <w:rPr>
                <w:b w:val="1"/>
                <w:u w:val="single"/>
                <w:rtl w:val="0"/>
              </w:rPr>
              <w:t xml:space="preserve">vienkāršoto </w:t>
            </w:r>
            <w:r w:rsidR="00000000" w:rsidRPr="00000000" w:rsidDel="00000000">
              <w:rPr>
                <w:rtl w:val="0"/>
              </w:rPr>
              <w:t xml:space="preserve">izmaksu metodikas, kas tiks izstrādātas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anotācijas punktā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netiešo izmaksu vienotā likme kā viena izmaksu pozīcija 15 procentu apmērā no plānotajām personāla atlīdzības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vadošās iestādes izstrādātās horizontālās vienas vienības izmaksu metodikas ("Vienas vienības izmaksu standarta likmes aprēķina un piemērošanas metodika 1 km izmaksām darbības programmas “Izaugsme un nodarbinātība” un Eiropas Savienības kohēzijas politikas programmas 2021.–2027.gadam  īstenošanai"; "Vienas vienības izmaksu standarta likmes aprēķina un piemērošanas metodika iekšzemes komandējumu izmaksām darbības programmas “Izaugsme un nodarbinātība” un Eiropas Savienības kohēzijas politikas programmas 2021.–2027.gadam īstenošanai" un citas vadošās vai atbildīgās iestādes vienkāršoto izmaksu metodikas, kas tiks izstrādātas projekta īstenošanas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detalizētāk aprakstīt paredzamo sadarbību ar Nodarbinātības valsts aģentūru, kas īsteno valsts politiku bezdarba samazināšanas un bezdarbnieku, darba meklētāju un bezdarba riskam pakļauto personu atbalsta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tieša sadarbība ar NVA projekta ietvaros nav plānota.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 gads ir pēdējais, kurā IeVP un NVA sadarbība tiek realizēta ESF projekta ietvaros. 2024. gadā un turpmākajos gados ESF projektā aizsākto sadarbību plānots realizēt kā standarta procedūru, balstoties abu pušu noslēgtā sadarbības līgumā. Sadarbība turpināsies ieslodzīto karjeras konsultāciju un darba devēju piesaistes jomā, sekmējot personu nodarbinātību pēc atbrīvošanas pēc ieslodzījuma. ES fondu 2021. – 2027. plānošanas perioda ietvaros paredzētais 4.3.4.7. pasākums ir orientēts uz ieslodzīto kā potenciālu darba ņēmēju nodarbināmības priekšnoteikumu radīšanu, nevis aktīviem nodarbinātības pasākumiem, tādēļ tā ietvaros sadarbība starp IeVP un NVA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sadaļā pamatinformāciju par iepriekš īstenotajiem projektiem šajā nozarē 2014.-2020.gadā un to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Sinerģijas un demarkācijas sadaļā ir norādes uz iepriekš 2014. - 2020. plānošanas periodā īstenotajiem un arī šobrīd aktīvajiem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šī informācija nebūtu jādublē.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tehniskus precizējumus anotācijas 1.3.apakšpunkta "Pašreizējā situācija, problēmas un risinājumi"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īstenošanai tiks piemērotas šādas vienkāršotās izmaksas:" aizstājot minēto pasākuma nosaukumu: "Nodarbināmības priekšnosacījumu nodrošināšana ieslodzītajiem, </w:t>
            </w:r>
            <w:r w:rsidR="00000000" w:rsidRPr="00000000" w:rsidDel="00000000">
              <w:rPr>
                <w:u w:val="single"/>
                <w:rtl w:val="0"/>
              </w:rPr>
              <w:t xml:space="preserve">t.sk. pētot ārvalstu pieredzi</w:t>
            </w:r>
            <w:r w:rsidR="00000000" w:rsidRPr="00000000" w:rsidDel="00000000">
              <w:rPr>
                <w:rtl w:val="0"/>
              </w:rPr>
              <w:t xml:space="preserve">, pilnveidojot resocializācijas sistēmas efektivitāti,  sekmējot bijušo ieslodzīto iekļaušanos, vienlīdzīgas iespējas un aktīvu līdzdalību" uz "Nodarbināmības priekšnosacījumu nodrošināšana ieslodzītajiem, pilnveidojot resocializācijas sistēmas efektivitāti, </w:t>
            </w:r>
            <w:r w:rsidR="00000000" w:rsidRPr="00000000" w:rsidDel="00000000">
              <w:rPr>
                <w:u w:val="single"/>
                <w:rtl w:val="0"/>
              </w:rPr>
              <w:t xml:space="preserve">vienlaikus</w:t>
            </w:r>
            <w:r w:rsidR="00000000" w:rsidRPr="00000000" w:rsidDel="00000000">
              <w:rPr>
                <w:rtl w:val="0"/>
              </w:rPr>
              <w:t xml:space="preserve"> sekmējot bijušo ieslodzīto iekļaušanos, vienlīdzīgas iespējas un aktīvu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apstrāde" aizstājot norādīto atsauci uz šo noteikumu 12.punktu ar uz šo noteikumu 14.punktu;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"Principa "Nenodarīt būtisku kaitējumu" (turpmāk - NBK) ievērošana" dzēšot dublējošo rindkopu "Projekta īstenošana 4.3.4.7. pasākumā (..)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precizējumi anotācijas 1.3. sadaļā "Pašreizējā situācija, problēmas un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nepieciešamajiem precizējumiem pasākuma nosaukumā, lūdzam arī skatīt izziņas 13.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1.)"Nodarbināmības priekšnosacījumu nodrošināšana ieslodzītajiem, pilnveidojot resocializācijas sistēmas efektivitāti, sekmējot bijušo ieslodzīto iekļaušanos, vienlīdzīgas iespējas un aktīvu līdzdalību";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īstenošanas laikā noteikumu 3.punktā noteikto personu datu apstrāde būs nepieciešama, lai nodrošinātu rezultatīvo un iznākuma rādītāju uzskaiti, ziņošanu un šo noteikumu 14. punktā uzskaitīto atbalstāmo darbību norisi.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Dublējošā rindkopa ir dzēsta.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neiebilst amata vietu izveidei uz konkrētu projekta ieviešanas laiku. Norādām, ka precīzas amatu klasifikācijas tiks skaņotas, kad Valsts kancelejā tiks iesniegti konkrēti amatu apraksti, vienlaikus horizontāli vērtējot projekta lielumu un apjomu raksturojošos kritērijus.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5.1.apakšpunktu, norādot tādas pašas summas pa gadiem kā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3.sadaļas 5.1.apakšpunktu.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16.2.8. apakšpunktam projekta ietvaros ir paredzēta materiāltehnisko līdzekļu iegāde, līdz ar to lūdzam papildināt anotācijas 3.sadaļu ar skaidrojumu, kā pēc projekta pabeigšanas tiks nodrošināta iegādāto materiāltehnisko vienību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anotācijas 3.sadaļā.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iegādāto materiāltehnisko vienību uzturēšana tiek plānota IeVP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8.1.13.apakšsadaļu, norādot, ka atbilstoši Eiropas Parlamenta un Padomes 2021. gada 24. jūnija Regulai (ES) 2021/1057, ar ko izveido Eiropas Sociālo fondu Plus (ESF+) un atceļ Regulu (ES) Nr. 1296/2013 tiks apstrādāti dati tieši par atbalstu saņēmušajām personām - ieslodzītajiem un viņu ģimenes locekļiem un atbalsta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anotācijas 8.1.13. apakšsadaļā.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1.3.apakšnodaļas apakšpunktā "Datu apstrāde" noteikto, lūdzam papildināt anotācijas 8.1.13.sadaļu ar atsauci uz Eiropas Parlamenta un Padomes 2021. gada 24. jūnija Regulas (ES)  Nr. 2021/1057, ar  ko izveido Eiropas Sociālo fondu Plus (ESF+) un atceļ Regulu (ES) Nr. 1296/2013 un, ka dati tiks iesniegti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anotācijas 8.1.13.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23-TA-1175</w:t>
    </w:r>
    <w:r>
      <w:br/>
    </w:r>
    <w:r w:rsidR="00000000" w:rsidRPr="00000000" w:rsidDel="00000000">
      <w:rPr>
        <w:rtl w:val="0"/>
      </w:rPr>
      <w:t xml:space="preserve">26.10.2023. 15.06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23-TA-1175</w:t>
    </w:r>
    <w:r>
      <w:br/>
    </w:r>
    <w:r w:rsidR="00000000" w:rsidRPr="00000000" w:rsidDel="00000000">
      <w:rPr>
        <w:rtl w:val="0"/>
      </w:rPr>
      <w:t xml:space="preserve">26.10.2023. 15.06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Izziņa_23-TA-1175.docx</dc:title>
</cp:coreProperties>
</file>

<file path=docProps/custom.xml><?xml version="1.0" encoding="utf-8"?>
<Properties xmlns="http://schemas.openxmlformats.org/officeDocument/2006/custom-properties" xmlns:vt="http://schemas.openxmlformats.org/officeDocument/2006/docPropsVTypes"/>
</file>